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2045E3" w:rsidRPr="00116B08" w:rsidTr="00E46F14">
        <w:trPr>
          <w:cantSplit/>
        </w:trPr>
        <w:tc>
          <w:tcPr>
            <w:tcW w:w="9018" w:type="dxa"/>
            <w:gridSpan w:val="6"/>
          </w:tcPr>
          <w:p w:rsidR="002045E3" w:rsidRPr="00116B08" w:rsidRDefault="002045E3" w:rsidP="00E46F14">
            <w:pPr>
              <w:spacing w:after="0" w:line="240" w:lineRule="auto"/>
              <w:rPr>
                <w:rFonts w:ascii="Arial" w:eastAsia="Times New Roman" w:hAnsi="Arial" w:cs="Times New Roman"/>
                <w:sz w:val="24"/>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SAULT COLLEGE OF APPLIED ARTS AND TECHNOLOGY</w:t>
            </w:r>
          </w:p>
          <w:p w:rsidR="002045E3" w:rsidRPr="00116B08" w:rsidRDefault="002045E3" w:rsidP="00E46F14">
            <w:pPr>
              <w:spacing w:after="0" w:line="240" w:lineRule="auto"/>
              <w:jc w:val="center"/>
              <w:rPr>
                <w:rFonts w:ascii="Arial" w:eastAsia="Times New Roman" w:hAnsi="Arial" w:cs="Times New Roman"/>
                <w:b/>
                <w:sz w:val="28"/>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 xml:space="preserve">SAULT </w:t>
            </w:r>
            <w:proofErr w:type="spellStart"/>
            <w:r w:rsidRPr="00116B08">
              <w:rPr>
                <w:rFonts w:ascii="Arial" w:eastAsia="Times New Roman" w:hAnsi="Arial" w:cs="Times New Roman"/>
                <w:b/>
                <w:sz w:val="28"/>
                <w:szCs w:val="20"/>
                <w:lang w:val="en-GB"/>
              </w:rPr>
              <w:t>STE.</w:t>
            </w:r>
            <w:proofErr w:type="spellEnd"/>
            <w:r w:rsidRPr="00116B08">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116B08">
                  <w:rPr>
                    <w:rFonts w:ascii="Arial" w:eastAsia="Times New Roman" w:hAnsi="Arial" w:cs="Times New Roman"/>
                    <w:b/>
                    <w:sz w:val="28"/>
                    <w:szCs w:val="20"/>
                    <w:lang w:val="en-GB"/>
                  </w:rPr>
                  <w:t>MARIE</w:t>
                </w:r>
              </w:smartTag>
              <w:r w:rsidRPr="00116B08">
                <w:rPr>
                  <w:rFonts w:ascii="Arial" w:eastAsia="Times New Roman" w:hAnsi="Arial" w:cs="Times New Roman"/>
                  <w:b/>
                  <w:sz w:val="28"/>
                  <w:szCs w:val="20"/>
                  <w:lang w:val="en-GB"/>
                </w:rPr>
                <w:t xml:space="preserve">, </w:t>
              </w:r>
              <w:smartTag w:uri="urn:schemas-microsoft-com:office:smarttags" w:element="State">
                <w:r w:rsidRPr="00116B08">
                  <w:rPr>
                    <w:rFonts w:ascii="Arial" w:eastAsia="Times New Roman" w:hAnsi="Arial" w:cs="Times New Roman"/>
                    <w:b/>
                    <w:sz w:val="28"/>
                    <w:szCs w:val="20"/>
                    <w:lang w:val="en-GB"/>
                  </w:rPr>
                  <w:t>ONTARIO</w:t>
                </w:r>
              </w:smartTag>
            </w:smartTag>
          </w:p>
          <w:p w:rsidR="002045E3" w:rsidRPr="00116B08" w:rsidRDefault="002045E3" w:rsidP="00E46F14">
            <w:pPr>
              <w:tabs>
                <w:tab w:val="center" w:pos="4560"/>
              </w:tabs>
              <w:spacing w:after="0" w:line="240" w:lineRule="auto"/>
              <w:rPr>
                <w:rFonts w:ascii="Arial" w:eastAsia="Times New Roman" w:hAnsi="Arial" w:cs="Times New Roman"/>
                <w:sz w:val="24"/>
                <w:szCs w:val="20"/>
                <w:lang w:val="en-GB"/>
              </w:rPr>
            </w:pPr>
          </w:p>
          <w:p w:rsidR="002045E3" w:rsidRPr="00116B08" w:rsidRDefault="002045E3" w:rsidP="00E46F14">
            <w:pPr>
              <w:spacing w:after="0" w:line="240" w:lineRule="auto"/>
              <w:jc w:val="center"/>
              <w:rPr>
                <w:rFonts w:ascii="Arial" w:eastAsia="Times New Roman" w:hAnsi="Arial" w:cs="Times New Roman"/>
                <w:sz w:val="24"/>
                <w:szCs w:val="20"/>
                <w:lang w:val="en-GB"/>
              </w:rPr>
            </w:pPr>
            <w:r>
              <w:rPr>
                <w:rFonts w:ascii="Arial" w:eastAsia="Times New Roman" w:hAnsi="Arial" w:cs="Times New Roman"/>
                <w:noProof/>
                <w:sz w:val="24"/>
                <w:szCs w:val="20"/>
                <w:lang w:eastAsia="en-CA"/>
              </w:rPr>
              <w:drawing>
                <wp:inline distT="0" distB="0" distL="0" distR="0" wp14:anchorId="0B79B8D4" wp14:editId="57B461A6">
                  <wp:extent cx="823595" cy="1290320"/>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595" cy="1290320"/>
                          </a:xfrm>
                          <a:prstGeom prst="rect">
                            <a:avLst/>
                          </a:prstGeom>
                          <a:noFill/>
                          <a:ln>
                            <a:noFill/>
                          </a:ln>
                        </pic:spPr>
                      </pic:pic>
                    </a:graphicData>
                  </a:graphic>
                </wp:inline>
              </w:drawing>
            </w:r>
          </w:p>
          <w:p w:rsidR="002045E3" w:rsidRPr="00116B08" w:rsidRDefault="002045E3" w:rsidP="00E46F14">
            <w:pPr>
              <w:spacing w:after="0" w:line="240" w:lineRule="auto"/>
              <w:jc w:val="center"/>
              <w:rPr>
                <w:rFonts w:ascii="Arial" w:eastAsia="Times New Roman" w:hAnsi="Arial" w:cs="Times New Roman"/>
                <w:sz w:val="24"/>
                <w:szCs w:val="20"/>
                <w:lang w:val="en-GB"/>
              </w:rPr>
            </w:pPr>
          </w:p>
          <w:p w:rsidR="002045E3" w:rsidRPr="00116B08" w:rsidRDefault="002045E3" w:rsidP="00E46F14">
            <w:pPr>
              <w:spacing w:after="0" w:line="240" w:lineRule="auto"/>
              <w:jc w:val="center"/>
              <w:rPr>
                <w:rFonts w:ascii="Arial" w:eastAsia="Times New Roman" w:hAnsi="Arial" w:cs="Times New Roman"/>
                <w:sz w:val="24"/>
                <w:szCs w:val="20"/>
                <w:lang w:val="en-GB"/>
              </w:rPr>
            </w:pPr>
          </w:p>
          <w:p w:rsidR="002045E3" w:rsidRPr="00116B08" w:rsidRDefault="002045E3" w:rsidP="00E46F14">
            <w:pPr>
              <w:keepNext/>
              <w:spacing w:after="0" w:line="240" w:lineRule="auto"/>
              <w:jc w:val="center"/>
              <w:outlineLvl w:val="0"/>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COURSE OUTLINE</w:t>
            </w:r>
          </w:p>
          <w:p w:rsidR="002045E3" w:rsidRPr="00116B08" w:rsidRDefault="002045E3" w:rsidP="00E46F14">
            <w:pPr>
              <w:spacing w:after="0" w:line="240" w:lineRule="auto"/>
              <w:rPr>
                <w:rFonts w:ascii="Arial" w:eastAsia="Times New Roman" w:hAnsi="Arial" w:cs="Times New Roman"/>
                <w:sz w:val="24"/>
                <w:szCs w:val="20"/>
                <w:lang w:val="en-US"/>
              </w:rPr>
            </w:pP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COURSE TITLE:</w:t>
            </w:r>
          </w:p>
          <w:p w:rsidR="002045E3" w:rsidRPr="00116B08" w:rsidRDefault="002045E3" w:rsidP="00E46F14">
            <w:pPr>
              <w:spacing w:after="0" w:line="240" w:lineRule="auto"/>
              <w:rPr>
                <w:rFonts w:ascii="Arial" w:eastAsia="Times New Roman" w:hAnsi="Arial" w:cs="Times New Roman"/>
                <w:b/>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Interviewing and Investigation</w:t>
            </w:r>
          </w:p>
        </w:tc>
      </w:tr>
      <w:tr w:rsidR="002045E3" w:rsidRPr="00116B08" w:rsidTr="00E46F14">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CODE NO. :</w:t>
            </w:r>
          </w:p>
          <w:p w:rsidR="002045E3" w:rsidRPr="00116B08" w:rsidRDefault="002045E3" w:rsidP="00E46F14">
            <w:pPr>
              <w:spacing w:after="0" w:line="240" w:lineRule="auto"/>
              <w:rPr>
                <w:rFonts w:ascii="Arial" w:eastAsia="Times New Roman" w:hAnsi="Arial" w:cs="Times New Roman"/>
                <w:b/>
                <w:sz w:val="24"/>
                <w:szCs w:val="20"/>
                <w:lang w:val="en-US"/>
              </w:rPr>
            </w:pPr>
          </w:p>
        </w:tc>
        <w:tc>
          <w:tcPr>
            <w:tcW w:w="3402" w:type="dxa"/>
            <w:gridSpan w:val="2"/>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PFP304</w:t>
            </w:r>
          </w:p>
        </w:tc>
        <w:tc>
          <w:tcPr>
            <w:tcW w:w="1701" w:type="dxa"/>
            <w:gridSpan w:val="2"/>
          </w:tcPr>
          <w:p w:rsidR="002045E3" w:rsidRPr="00116B08" w:rsidRDefault="002045E3" w:rsidP="00E46F14">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GB"/>
              </w:rPr>
              <w:t>SEMESTER:</w:t>
            </w:r>
          </w:p>
        </w:tc>
        <w:tc>
          <w:tcPr>
            <w:tcW w:w="1397" w:type="dxa"/>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3</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PROGRAM:</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Police Foundations</w:t>
            </w:r>
            <w:r>
              <w:rPr>
                <w:rFonts w:ascii="Arial" w:eastAsia="Times New Roman" w:hAnsi="Arial" w:cs="Times New Roman"/>
                <w:sz w:val="24"/>
                <w:szCs w:val="20"/>
                <w:lang w:val="en-US"/>
              </w:rPr>
              <w:t xml:space="preserve"> / Protection, Security and Investigation</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AUTHOR:</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James Pardy</w:t>
            </w:r>
          </w:p>
        </w:tc>
      </w:tr>
      <w:tr w:rsidR="002045E3" w:rsidRPr="00116B08" w:rsidTr="00E46F14">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DATE:</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1370" w:type="dxa"/>
          </w:tcPr>
          <w:p w:rsidR="002045E3" w:rsidRPr="00116B08" w:rsidRDefault="00A03039" w:rsidP="00537ABB">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August 201</w:t>
            </w:r>
            <w:r w:rsidR="00537ABB">
              <w:rPr>
                <w:rFonts w:ascii="Arial" w:eastAsia="Times New Roman" w:hAnsi="Arial" w:cs="Times New Roman"/>
                <w:sz w:val="24"/>
                <w:szCs w:val="20"/>
                <w:lang w:val="en-US"/>
              </w:rPr>
              <w:t>5</w:t>
            </w:r>
          </w:p>
        </w:tc>
        <w:tc>
          <w:tcPr>
            <w:tcW w:w="3600" w:type="dxa"/>
            <w:gridSpan w:val="2"/>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PREVIOUS OUTLINE DATED:</w:t>
            </w:r>
          </w:p>
        </w:tc>
        <w:tc>
          <w:tcPr>
            <w:tcW w:w="1530" w:type="dxa"/>
            <w:gridSpan w:val="2"/>
          </w:tcPr>
          <w:p w:rsidR="002045E3" w:rsidRPr="00116B08" w:rsidRDefault="002045E3" w:rsidP="00537ABB">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 201</w:t>
            </w:r>
            <w:r w:rsidR="00537ABB">
              <w:rPr>
                <w:rFonts w:ascii="Arial" w:eastAsia="Times New Roman" w:hAnsi="Arial" w:cs="Times New Roman"/>
                <w:sz w:val="24"/>
                <w:szCs w:val="20"/>
                <w:lang w:val="en-US"/>
              </w:rPr>
              <w:t>4</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APPROVED:</w:t>
            </w:r>
          </w:p>
        </w:tc>
        <w:tc>
          <w:tcPr>
            <w:tcW w:w="4970" w:type="dxa"/>
            <w:gridSpan w:val="3"/>
          </w:tcPr>
          <w:p w:rsidR="002045E3" w:rsidRPr="008C6926" w:rsidRDefault="008C6926" w:rsidP="00E46F14">
            <w:pPr>
              <w:spacing w:after="0" w:line="240" w:lineRule="auto"/>
              <w:jc w:val="center"/>
              <w:rPr>
                <w:rFonts w:ascii="Times New Roman" w:eastAsia="Times New Roman" w:hAnsi="Times New Roman" w:cs="Times New Roman"/>
                <w:sz w:val="24"/>
                <w:szCs w:val="20"/>
                <w:lang w:val="en-US"/>
              </w:rPr>
            </w:pPr>
            <w:r w:rsidRPr="008C6926">
              <w:rPr>
                <w:rFonts w:ascii="Times New Roman" w:eastAsia="Times New Roman" w:hAnsi="Times New Roman" w:cs="Times New Roman"/>
                <w:sz w:val="24"/>
                <w:szCs w:val="20"/>
                <w:lang w:val="en-US"/>
              </w:rPr>
              <w:t>‘Angelique Lemay’</w:t>
            </w:r>
          </w:p>
        </w:tc>
        <w:tc>
          <w:tcPr>
            <w:tcW w:w="1530" w:type="dxa"/>
            <w:gridSpan w:val="2"/>
          </w:tcPr>
          <w:p w:rsidR="002045E3" w:rsidRPr="008C6926" w:rsidRDefault="008C6926" w:rsidP="00E46F14">
            <w:pPr>
              <w:spacing w:after="0" w:line="240" w:lineRule="auto"/>
              <w:rPr>
                <w:rFonts w:ascii="Times New Roman" w:eastAsia="Times New Roman" w:hAnsi="Times New Roman" w:cs="Times New Roman"/>
                <w:sz w:val="24"/>
                <w:szCs w:val="20"/>
                <w:lang w:val="en-US"/>
              </w:rPr>
            </w:pPr>
            <w:r w:rsidRPr="008C6926">
              <w:rPr>
                <w:rFonts w:ascii="Times New Roman" w:eastAsia="Times New Roman" w:hAnsi="Times New Roman" w:cs="Times New Roman"/>
                <w:sz w:val="24"/>
                <w:szCs w:val="20"/>
                <w:lang w:val="en-US"/>
              </w:rPr>
              <w:t>June/15</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sz w:val="24"/>
                <w:szCs w:val="20"/>
                <w:lang w:val="en-US"/>
              </w:rPr>
            </w:pPr>
          </w:p>
        </w:tc>
        <w:tc>
          <w:tcPr>
            <w:tcW w:w="4970" w:type="dxa"/>
            <w:gridSpan w:val="3"/>
          </w:tcPr>
          <w:p w:rsidR="002045E3" w:rsidRPr="00116B08" w:rsidRDefault="002045E3" w:rsidP="00E46F14">
            <w:pPr>
              <w:keepNext/>
              <w:spacing w:after="0" w:line="240" w:lineRule="auto"/>
              <w:jc w:val="center"/>
              <w:outlineLvl w:val="1"/>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__________________________________</w:t>
            </w:r>
          </w:p>
          <w:p w:rsidR="002045E3" w:rsidRPr="00DE4B3B" w:rsidRDefault="002045E3" w:rsidP="00E46F14">
            <w:pPr>
              <w:keepNext/>
              <w:spacing w:after="0" w:line="240" w:lineRule="auto"/>
              <w:jc w:val="center"/>
              <w:outlineLvl w:val="1"/>
              <w:rPr>
                <w:rFonts w:ascii="Arial" w:eastAsia="Times New Roman" w:hAnsi="Arial" w:cs="Times New Roman"/>
                <w:b/>
                <w:sz w:val="24"/>
                <w:szCs w:val="24"/>
                <w:lang w:val="en-US"/>
              </w:rPr>
            </w:pPr>
            <w:r w:rsidRPr="00DE4B3B">
              <w:rPr>
                <w:rFonts w:ascii="Arial" w:hAnsi="Arial"/>
                <w:b/>
                <w:sz w:val="24"/>
                <w:szCs w:val="24"/>
              </w:rPr>
              <w:t>DEAN</w:t>
            </w:r>
          </w:p>
        </w:tc>
        <w:tc>
          <w:tcPr>
            <w:tcW w:w="1530" w:type="dxa"/>
            <w:gridSpan w:val="2"/>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_________</w:t>
            </w:r>
          </w:p>
          <w:p w:rsidR="002045E3" w:rsidRPr="00116B08" w:rsidRDefault="002045E3" w:rsidP="00E46F14">
            <w:pPr>
              <w:spacing w:after="0" w:line="240" w:lineRule="auto"/>
              <w:jc w:val="center"/>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DATE</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TOTAL CREDITS:</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PREREQUISITE(S):</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PFP301  PFP303</w:t>
            </w:r>
            <w:bookmarkStart w:id="0" w:name="_GoBack"/>
            <w:bookmarkEnd w:id="0"/>
          </w:p>
        </w:tc>
      </w:tr>
      <w:tr w:rsidR="002045E3" w:rsidRPr="00116B08" w:rsidTr="00E46F14">
        <w:trPr>
          <w:cantSplit/>
        </w:trPr>
        <w:tc>
          <w:tcPr>
            <w:tcW w:w="2518" w:type="dxa"/>
          </w:tcPr>
          <w:p w:rsidR="002045E3" w:rsidRPr="00116B08" w:rsidRDefault="002045E3" w:rsidP="00E46F14">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HOURS/WEEK:</w:t>
            </w:r>
          </w:p>
          <w:p w:rsidR="002045E3" w:rsidRPr="00116B08" w:rsidRDefault="002045E3" w:rsidP="00E46F14">
            <w:pPr>
              <w:spacing w:after="0" w:line="240" w:lineRule="auto"/>
              <w:rPr>
                <w:rFonts w:ascii="Arial" w:eastAsia="Times New Roman" w:hAnsi="Arial" w:cs="Times New Roman"/>
                <w:sz w:val="24"/>
                <w:szCs w:val="20"/>
                <w:lang w:val="en-US"/>
              </w:rPr>
            </w:pPr>
          </w:p>
        </w:tc>
        <w:tc>
          <w:tcPr>
            <w:tcW w:w="6500" w:type="dxa"/>
            <w:gridSpan w:val="5"/>
          </w:tcPr>
          <w:p w:rsidR="002045E3" w:rsidRPr="00116B08" w:rsidRDefault="002045E3" w:rsidP="00E46F14">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2045E3" w:rsidRPr="00116B08" w:rsidTr="00E46F14">
        <w:trPr>
          <w:cantSplit/>
        </w:trPr>
        <w:tc>
          <w:tcPr>
            <w:tcW w:w="9018" w:type="dxa"/>
            <w:gridSpan w:val="6"/>
          </w:tcPr>
          <w:p w:rsidR="002045E3" w:rsidRPr="00116B08" w:rsidRDefault="002045E3" w:rsidP="00E46F14">
            <w:pPr>
              <w:spacing w:after="0" w:line="240" w:lineRule="auto"/>
              <w:rPr>
                <w:rFonts w:ascii="Times New Roman" w:eastAsia="Times New Roman" w:hAnsi="Times New Roman" w:cs="Times New Roman"/>
                <w:sz w:val="24"/>
                <w:szCs w:val="20"/>
                <w:lang w:val="en-GB"/>
              </w:rPr>
            </w:pPr>
          </w:p>
          <w:p w:rsidR="002045E3" w:rsidRPr="00116B08" w:rsidRDefault="00A358EB" w:rsidP="00E46F14">
            <w:pPr>
              <w:keepNext/>
              <w:tabs>
                <w:tab w:val="center" w:pos="4560"/>
              </w:tabs>
              <w:spacing w:after="0" w:line="240" w:lineRule="auto"/>
              <w:jc w:val="center"/>
              <w:outlineLvl w:val="1"/>
              <w:rPr>
                <w:rFonts w:ascii="Arial" w:eastAsia="Times New Roman" w:hAnsi="Arial" w:cs="Times New Roman"/>
                <w:b/>
                <w:sz w:val="24"/>
                <w:szCs w:val="20"/>
                <w:lang w:val="en-GB"/>
              </w:rPr>
            </w:pPr>
            <w:r>
              <w:rPr>
                <w:rFonts w:ascii="Arial" w:eastAsia="Times New Roman" w:hAnsi="Arial" w:cs="Times New Roman"/>
                <w:b/>
                <w:sz w:val="24"/>
                <w:szCs w:val="20"/>
                <w:lang w:val="en-GB"/>
              </w:rPr>
              <w:t>Copyright ©2012</w:t>
            </w:r>
            <w:r w:rsidR="002045E3" w:rsidRPr="00116B08">
              <w:rPr>
                <w:rFonts w:ascii="Arial" w:eastAsia="Times New Roman" w:hAnsi="Arial" w:cs="Times New Roman"/>
                <w:b/>
                <w:sz w:val="24"/>
                <w:szCs w:val="20"/>
                <w:lang w:val="en-GB"/>
              </w:rPr>
              <w:t xml:space="preserve"> The Sault College of Applied Arts &amp; Technology</w:t>
            </w:r>
          </w:p>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Reproduction of this document by any means, in whole or in part, without prior</w:t>
            </w:r>
          </w:p>
          <w:p w:rsidR="002045E3" w:rsidRPr="00116B08" w:rsidRDefault="002045E3" w:rsidP="00E46F14">
            <w:pPr>
              <w:keepNext/>
              <w:tabs>
                <w:tab w:val="center" w:pos="4560"/>
              </w:tabs>
              <w:spacing w:after="0" w:line="240" w:lineRule="auto"/>
              <w:jc w:val="center"/>
              <w:outlineLvl w:val="1"/>
              <w:rPr>
                <w:rFonts w:ascii="Arial" w:eastAsia="Times New Roman" w:hAnsi="Arial" w:cs="Times New Roman"/>
                <w:sz w:val="24"/>
                <w:szCs w:val="20"/>
                <w:lang w:val="en-GB"/>
              </w:rPr>
            </w:pPr>
            <w:r w:rsidRPr="00116B08">
              <w:rPr>
                <w:rFonts w:ascii="Arial" w:eastAsia="Times New Roman" w:hAnsi="Arial" w:cs="Times New Roman"/>
                <w:i/>
                <w:sz w:val="24"/>
                <w:szCs w:val="20"/>
                <w:lang w:val="en-GB"/>
              </w:rPr>
              <w:t xml:space="preserve">written permission of </w:t>
            </w:r>
            <w:smartTag w:uri="urn:schemas-microsoft-com:office:smarttags" w:element="place">
              <w:smartTag w:uri="urn:schemas-microsoft-com:office:smarttags" w:element="PlaceName">
                <w:r w:rsidRPr="00116B08">
                  <w:rPr>
                    <w:rFonts w:ascii="Arial" w:eastAsia="Times New Roman" w:hAnsi="Arial" w:cs="Times New Roman"/>
                    <w:i/>
                    <w:sz w:val="24"/>
                    <w:szCs w:val="20"/>
                    <w:lang w:val="en-GB"/>
                  </w:rPr>
                  <w:t>Sault</w:t>
                </w:r>
              </w:smartTag>
              <w:r w:rsidRPr="00116B08">
                <w:rPr>
                  <w:rFonts w:ascii="Arial" w:eastAsia="Times New Roman" w:hAnsi="Arial" w:cs="Times New Roman"/>
                  <w:i/>
                  <w:sz w:val="24"/>
                  <w:szCs w:val="20"/>
                  <w:lang w:val="en-GB"/>
                </w:rPr>
                <w:t xml:space="preserve"> </w:t>
              </w:r>
              <w:smartTag w:uri="urn:schemas-microsoft-com:office:smarttags" w:element="PlaceType">
                <w:r w:rsidRPr="00116B08">
                  <w:rPr>
                    <w:rFonts w:ascii="Arial" w:eastAsia="Times New Roman" w:hAnsi="Arial" w:cs="Times New Roman"/>
                    <w:i/>
                    <w:sz w:val="24"/>
                    <w:szCs w:val="20"/>
                    <w:lang w:val="en-GB"/>
                  </w:rPr>
                  <w:t>College</w:t>
                </w:r>
              </w:smartTag>
            </w:smartTag>
            <w:r w:rsidRPr="00116B08">
              <w:rPr>
                <w:rFonts w:ascii="Arial" w:eastAsia="Times New Roman" w:hAnsi="Arial" w:cs="Times New Roman"/>
                <w:i/>
                <w:sz w:val="24"/>
                <w:szCs w:val="20"/>
                <w:lang w:val="en-GB"/>
              </w:rPr>
              <w:t xml:space="preserve"> of Applied Arts &amp; Technology is prohibited.</w:t>
            </w:r>
          </w:p>
        </w:tc>
      </w:tr>
      <w:tr w:rsidR="002045E3" w:rsidRPr="00116B08" w:rsidTr="00E46F14">
        <w:trPr>
          <w:cantSplit/>
        </w:trPr>
        <w:tc>
          <w:tcPr>
            <w:tcW w:w="9018" w:type="dxa"/>
            <w:gridSpan w:val="6"/>
          </w:tcPr>
          <w:p w:rsidR="002045E3" w:rsidRPr="00DE4B3B" w:rsidRDefault="002045E3" w:rsidP="00E46F14">
            <w:pPr>
              <w:keepNext/>
              <w:tabs>
                <w:tab w:val="center" w:pos="4560"/>
              </w:tabs>
              <w:spacing w:after="0" w:line="240" w:lineRule="auto"/>
              <w:jc w:val="center"/>
              <w:outlineLvl w:val="1"/>
              <w:rPr>
                <w:rFonts w:ascii="Arial" w:eastAsia="Times New Roman" w:hAnsi="Arial" w:cs="Times New Roman"/>
                <w:sz w:val="24"/>
                <w:szCs w:val="24"/>
                <w:lang w:val="en-GB"/>
              </w:rPr>
            </w:pPr>
            <w:r w:rsidRPr="00DE4B3B">
              <w:rPr>
                <w:rFonts w:ascii="Arial" w:hAnsi="Arial"/>
                <w:i/>
                <w:sz w:val="24"/>
                <w:szCs w:val="24"/>
              </w:rPr>
              <w:t>For additional information, please contact Angelique Lemay, Dean</w:t>
            </w:r>
          </w:p>
        </w:tc>
      </w:tr>
      <w:tr w:rsidR="002045E3" w:rsidRPr="00116B08" w:rsidTr="00E46F14">
        <w:trPr>
          <w:cantSplit/>
        </w:trPr>
        <w:tc>
          <w:tcPr>
            <w:tcW w:w="9018" w:type="dxa"/>
            <w:gridSpan w:val="6"/>
          </w:tcPr>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Pr>
                <w:rFonts w:ascii="Arial" w:hAnsi="Arial"/>
                <w:i/>
                <w:sz w:val="24"/>
                <w:szCs w:val="24"/>
                <w:lang w:val="en-GB"/>
              </w:rPr>
              <w:t>S</w:t>
            </w:r>
            <w:r w:rsidR="008C6926">
              <w:rPr>
                <w:rFonts w:ascii="Arial" w:hAnsi="Arial"/>
                <w:i/>
                <w:sz w:val="24"/>
                <w:szCs w:val="24"/>
                <w:lang w:val="en-GB"/>
              </w:rPr>
              <w:t xml:space="preserve">chool of Community Services, </w:t>
            </w:r>
            <w:r>
              <w:rPr>
                <w:rFonts w:ascii="Arial" w:hAnsi="Arial"/>
                <w:i/>
                <w:sz w:val="24"/>
                <w:szCs w:val="24"/>
                <w:lang w:val="en-GB"/>
              </w:rPr>
              <w:t>Interdisciplinary Studies</w:t>
            </w:r>
            <w:r w:rsidR="008C6926">
              <w:rPr>
                <w:rFonts w:ascii="Arial" w:hAnsi="Arial"/>
                <w:i/>
                <w:sz w:val="24"/>
                <w:szCs w:val="24"/>
                <w:lang w:val="en-GB"/>
              </w:rPr>
              <w:t>, Curriculum &amp; Faculty Enrichment</w:t>
            </w:r>
          </w:p>
        </w:tc>
      </w:tr>
      <w:tr w:rsidR="002045E3" w:rsidRPr="00116B08" w:rsidTr="00E46F14">
        <w:trPr>
          <w:cantSplit/>
        </w:trPr>
        <w:tc>
          <w:tcPr>
            <w:tcW w:w="9018" w:type="dxa"/>
            <w:gridSpan w:val="6"/>
          </w:tcPr>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(705) 759-2554, Ext.2737</w:t>
            </w:r>
          </w:p>
          <w:p w:rsidR="002045E3" w:rsidRPr="00116B08" w:rsidRDefault="002045E3" w:rsidP="00E46F14">
            <w:pPr>
              <w:tabs>
                <w:tab w:val="center" w:pos="4560"/>
              </w:tabs>
              <w:spacing w:after="0" w:line="240" w:lineRule="auto"/>
              <w:jc w:val="center"/>
              <w:rPr>
                <w:rFonts w:ascii="Arial" w:eastAsia="Times New Roman" w:hAnsi="Arial" w:cs="Times New Roman"/>
                <w:i/>
                <w:sz w:val="24"/>
                <w:szCs w:val="20"/>
                <w:lang w:val="en-GB"/>
              </w:rPr>
            </w:pPr>
          </w:p>
          <w:p w:rsidR="002045E3" w:rsidRPr="00116B08" w:rsidRDefault="002045E3" w:rsidP="00E46F14">
            <w:pPr>
              <w:tabs>
                <w:tab w:val="center" w:pos="4560"/>
              </w:tabs>
              <w:spacing w:after="0" w:line="240" w:lineRule="auto"/>
              <w:jc w:val="center"/>
              <w:rPr>
                <w:rFonts w:ascii="Arial" w:eastAsia="Times New Roman" w:hAnsi="Arial" w:cs="Times New Roman"/>
                <w:sz w:val="24"/>
                <w:szCs w:val="20"/>
                <w:lang w:val="en-US"/>
              </w:rPr>
            </w:pPr>
          </w:p>
        </w:tc>
      </w:tr>
    </w:tbl>
    <w:p w:rsidR="002045E3" w:rsidRPr="00116B08" w:rsidRDefault="002045E3" w:rsidP="002045E3">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sectPr w:rsidR="002045E3" w:rsidRPr="00116B08">
          <w:pgSz w:w="12240" w:h="15840"/>
          <w:pgMar w:top="1440" w:right="1800" w:bottom="1440" w:left="1800" w:header="708" w:footer="708" w:gutter="0"/>
          <w:cols w:space="708"/>
          <w:docGrid w:linePitch="360"/>
        </w:sectPr>
      </w:pPr>
    </w:p>
    <w:p w:rsidR="002045E3" w:rsidRPr="00116B08" w:rsidRDefault="002045E3" w:rsidP="002045E3">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pPr>
    </w:p>
    <w:p w:rsidR="002045E3" w:rsidRPr="00116B08" w:rsidRDefault="002045E3" w:rsidP="002045E3">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tbl>
      <w:tblPr>
        <w:tblW w:w="0" w:type="auto"/>
        <w:jc w:val="center"/>
        <w:tblLayout w:type="fixed"/>
        <w:tblCellMar>
          <w:left w:w="206" w:type="dxa"/>
          <w:right w:w="206" w:type="dxa"/>
        </w:tblCellMar>
        <w:tblLook w:val="0000" w:firstRow="0" w:lastRow="0" w:firstColumn="0" w:lastColumn="0" w:noHBand="0" w:noVBand="0"/>
      </w:tblPr>
      <w:tblGrid>
        <w:gridCol w:w="4770"/>
        <w:gridCol w:w="5040"/>
      </w:tblGrid>
      <w:tr w:rsidR="002045E3" w:rsidRPr="00116B08" w:rsidTr="00E46F14">
        <w:trPr>
          <w:jc w:val="center"/>
        </w:trPr>
        <w:tc>
          <w:tcPr>
            <w:tcW w:w="9810" w:type="dxa"/>
            <w:gridSpan w:val="2"/>
            <w:tcBorders>
              <w:top w:val="single" w:sz="6" w:space="0" w:color="FFFFFF"/>
              <w:left w:val="single" w:sz="6" w:space="0" w:color="FFFFFF"/>
              <w:bottom w:val="single" w:sz="6" w:space="0" w:color="FFFFFF"/>
            </w:tcBorders>
          </w:tcPr>
          <w:p w:rsidR="002045E3" w:rsidRPr="00116B08" w:rsidRDefault="002045E3" w:rsidP="00E46F14">
            <w:pPr>
              <w:spacing w:after="0" w:line="177" w:lineRule="exact"/>
              <w:ind w:left="154"/>
              <w:jc w:val="center"/>
              <w:rPr>
                <w:rFonts w:ascii="Times New Roman" w:eastAsia="Times New Roman" w:hAnsi="Times New Roman" w:cs="Times New Roman"/>
                <w:b/>
                <w:sz w:val="24"/>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jc w:val="center"/>
              <w:rPr>
                <w:rFonts w:ascii="Times New Roman" w:eastAsia="Times New Roman" w:hAnsi="Times New Roman" w:cs="Times New Roman"/>
                <w:b/>
                <w:sz w:val="24"/>
                <w:szCs w:val="20"/>
                <w:lang w:val="en-GB"/>
              </w:rPr>
            </w:pPr>
            <w:r w:rsidRPr="00116B08">
              <w:rPr>
                <w:rFonts w:ascii="Times New Roman" w:eastAsia="Times New Roman" w:hAnsi="Times New Roman" w:cs="Times New Roman"/>
                <w:b/>
                <w:sz w:val="24"/>
                <w:szCs w:val="20"/>
                <w:lang w:val="en-US"/>
              </w:rPr>
              <w:t>Relationship To Program Learning Outcomes</w:t>
            </w:r>
          </w:p>
        </w:tc>
      </w:tr>
      <w:tr w:rsidR="002045E3" w:rsidRPr="00116B08" w:rsidTr="00E46F14">
        <w:trPr>
          <w:jc w:val="center"/>
        </w:trPr>
        <w:tc>
          <w:tcPr>
            <w:tcW w:w="4770" w:type="dxa"/>
            <w:tcBorders>
              <w:top w:val="single" w:sz="7" w:space="0" w:color="000000"/>
              <w:left w:val="single" w:sz="7" w:space="0" w:color="000000"/>
              <w:bottom w:val="single" w:sz="6" w:space="0" w:color="FFFFFF"/>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b/>
                <w:sz w:val="20"/>
                <w:szCs w:val="20"/>
                <w:lang w:val="en-GB"/>
              </w:rPr>
              <w:t>Police Foundations Vocational Outcomes</w:t>
            </w:r>
          </w:p>
        </w:tc>
        <w:tc>
          <w:tcPr>
            <w:tcW w:w="5040" w:type="dxa"/>
            <w:tcBorders>
              <w:top w:val="single" w:sz="7" w:space="0" w:color="000000"/>
              <w:left w:val="single" w:sz="7" w:space="0" w:color="000000"/>
              <w:bottom w:val="single" w:sz="6" w:space="0" w:color="FFFFFF"/>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ab/>
            </w:r>
            <w:r w:rsidRPr="00116B08">
              <w:rPr>
                <w:rFonts w:ascii="Times New Roman" w:eastAsia="Times New Roman" w:hAnsi="Times New Roman" w:cs="Times New Roman"/>
                <w:b/>
                <w:sz w:val="20"/>
                <w:szCs w:val="20"/>
                <w:lang w:val="en-GB"/>
              </w:rPr>
              <w:t>Generic Skills</w:t>
            </w:r>
          </w:p>
        </w:tc>
      </w:tr>
      <w:tr w:rsidR="002045E3" w:rsidRPr="00116B08" w:rsidTr="00E46F14">
        <w:trPr>
          <w:jc w:val="center"/>
        </w:trPr>
        <w:tc>
          <w:tcPr>
            <w:tcW w:w="4770" w:type="dxa"/>
            <w:tcBorders>
              <w:top w:val="single" w:sz="7" w:space="0" w:color="000000"/>
              <w:left w:val="single" w:sz="7" w:space="0" w:color="000000"/>
              <w:bottom w:val="single" w:sz="7" w:space="0" w:color="000000"/>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t>act in a manner consistent with all relevant law and legislation, and professional, organizational, and ethical standards.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t>document, prepare, and assist in the presentation of court cases in compliance with criminal and provincial law, rules of evidence, and the Charter of Rights and Freedom.</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t>initiate, promote, and facilitate partnerships to meet community policing and security needs.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assess the relationship of policing services to other participants in the criminal justice system and other community service agencies.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t>assess information gathering skills used in basic investigative techniques.</w:t>
            </w:r>
          </w:p>
        </w:tc>
        <w:tc>
          <w:tcPr>
            <w:tcW w:w="5040" w:type="dxa"/>
            <w:tcBorders>
              <w:top w:val="single" w:sz="7" w:space="0" w:color="000000"/>
              <w:left w:val="single" w:sz="7" w:space="0" w:color="000000"/>
              <w:bottom w:val="single" w:sz="7" w:space="0" w:color="000000"/>
              <w:right w:val="single" w:sz="7" w:space="0" w:color="000000"/>
            </w:tcBorders>
          </w:tcPr>
          <w:p w:rsidR="002045E3" w:rsidRPr="00116B08" w:rsidRDefault="002045E3" w:rsidP="00E46F14">
            <w:pPr>
              <w:spacing w:after="0" w:line="196" w:lineRule="exact"/>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t>communicate clearly, concisely, and correctly in the written, spoken, and visual form that fulfils the purpose and meets the needs of audiences.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t>use a variety of computer hardware and software and other technological tools appropriate and necessary to the performance of tasks.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t>evaluate her or his own thinking throughout the steps and processes used in problem solving and decision making.</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collect, analyse, and organize relevant and necessary information from a variety of sources.</w:t>
            </w: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2045E3" w:rsidRPr="00116B08" w:rsidRDefault="002045E3" w:rsidP="00E46F1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t xml:space="preserve">create innovative strategies and/or products </w:t>
            </w:r>
            <w:r w:rsidRPr="00116B08">
              <w:rPr>
                <w:rFonts w:ascii="Times New Roman" w:eastAsia="Times New Roman" w:hAnsi="Times New Roman" w:cs="Times New Roman"/>
                <w:sz w:val="20"/>
                <w:szCs w:val="20"/>
                <w:lang w:val="en-GB"/>
              </w:rPr>
              <w:tab/>
              <w:t xml:space="preserve">that </w:t>
            </w:r>
            <w:r w:rsidRPr="00116B08">
              <w:rPr>
                <w:rFonts w:ascii="Times New Roman" w:eastAsia="Times New Roman" w:hAnsi="Times New Roman" w:cs="Times New Roman"/>
                <w:sz w:val="20"/>
                <w:szCs w:val="20"/>
                <w:lang w:val="en-GB"/>
              </w:rPr>
              <w:tab/>
              <w:t>meet identified needs.</w:t>
            </w:r>
          </w:p>
        </w:tc>
      </w:tr>
    </w:tbl>
    <w:p w:rsidR="002045E3" w:rsidRPr="00116B08" w:rsidRDefault="002045E3" w:rsidP="002045E3">
      <w:pPr>
        <w:tabs>
          <w:tab w:val="left" w:pos="-720"/>
        </w:tabs>
        <w:spacing w:after="0" w:line="240" w:lineRule="auto"/>
        <w:rPr>
          <w:rFonts w:ascii="Times New Roman" w:eastAsia="Times New Roman" w:hAnsi="Times New Roman" w:cs="Times New Roman"/>
          <w:b/>
          <w:sz w:val="26"/>
          <w:szCs w:val="20"/>
          <w:lang w:val="en-GB"/>
        </w:rPr>
      </w:pPr>
    </w:p>
    <w:p w:rsidR="002045E3" w:rsidRPr="00116B08" w:rsidRDefault="002045E3" w:rsidP="002045E3">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b/>
          <w:sz w:val="26"/>
          <w:szCs w:val="20"/>
          <w:lang w:val="en-GB"/>
        </w:rPr>
        <w:t>Course Learning Outcomes</w:t>
      </w:r>
    </w:p>
    <w:p w:rsidR="002045E3" w:rsidRPr="00116B08" w:rsidRDefault="002045E3" w:rsidP="002045E3">
      <w:pPr>
        <w:tabs>
          <w:tab w:val="left" w:pos="-720"/>
        </w:tabs>
        <w:spacing w:after="0" w:line="240" w:lineRule="auto"/>
        <w:rPr>
          <w:rFonts w:ascii="Arial" w:eastAsia="Times New Roman" w:hAnsi="Arial" w:cs="Arial"/>
          <w:sz w:val="24"/>
          <w:szCs w:val="20"/>
          <w:lang w:val="en-GB"/>
        </w:rPr>
      </w:pPr>
    </w:p>
    <w:p w:rsidR="00A03039" w:rsidRPr="00A03039" w:rsidRDefault="00A03039" w:rsidP="00A03039">
      <w:pPr>
        <w:numPr>
          <w:ilvl w:val="0"/>
          <w:numId w:val="6"/>
        </w:numPr>
        <w:autoSpaceDE w:val="0"/>
        <w:autoSpaceDN w:val="0"/>
        <w:spacing w:after="0" w:line="240" w:lineRule="auto"/>
        <w:rPr>
          <w:rFonts w:ascii="Arial" w:eastAsia="Times New Roman" w:hAnsi="Arial" w:cs="Arial"/>
          <w:b/>
          <w:bCs/>
          <w:sz w:val="24"/>
          <w:szCs w:val="24"/>
          <w:lang w:val="en-US"/>
        </w:rPr>
      </w:pPr>
      <w:r w:rsidRPr="00A03039">
        <w:rPr>
          <w:rFonts w:ascii="Arial" w:eastAsia="Times New Roman" w:hAnsi="Arial" w:cs="Arial"/>
          <w:b/>
          <w:bCs/>
          <w:sz w:val="24"/>
          <w:szCs w:val="24"/>
          <w:lang w:val="en-US"/>
        </w:rPr>
        <w:t>COURSE DESCRIPTION:</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en-GB"/>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This course focuses on the interviewing and investigation skills necessary to retrieve information from victims, witnesses and suspects using legally accepted techniques. Indicators of deception and potential violence will be discussed. Rules of competence and compellability contained in the Canada Evidence Act will also be examined.</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The Charter of Rights and Freedoms will be examined highlighting the obligations placed upon a “person in authority.”</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 xml:space="preserve">Students will also learn the basic steps of conducting an investigation including the practical development of note taking and observation skills. </w:t>
      </w: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F42270" w:rsidRDefault="00F42270" w:rsidP="00A03039">
      <w:pPr>
        <w:autoSpaceDE w:val="0"/>
        <w:autoSpaceDN w:val="0"/>
        <w:spacing w:after="0" w:line="240" w:lineRule="auto"/>
        <w:rPr>
          <w:rFonts w:ascii="Times New Roman" w:eastAsia="Times New Roman" w:hAnsi="Times New Roman" w:cs="Times New Roman"/>
          <w:b/>
          <w:bCs/>
          <w:sz w:val="24"/>
          <w:szCs w:val="24"/>
          <w:lang w:val="en-US"/>
        </w:rPr>
      </w:pPr>
      <w:r w:rsidRPr="00A03039">
        <w:rPr>
          <w:rFonts w:ascii="Times New Roman" w:eastAsia="Times New Roman" w:hAnsi="Times New Roman" w:cs="Times New Roman"/>
          <w:b/>
          <w:bCs/>
          <w:sz w:val="24"/>
          <w:szCs w:val="24"/>
          <w:lang w:val="en-US"/>
        </w:rPr>
        <w:t>II.</w:t>
      </w:r>
      <w:r w:rsidRPr="00A03039">
        <w:rPr>
          <w:rFonts w:ascii="Times New Roman" w:eastAsia="Times New Roman" w:hAnsi="Times New Roman" w:cs="Times New Roman"/>
          <w:b/>
          <w:bCs/>
          <w:sz w:val="24"/>
          <w:szCs w:val="24"/>
          <w:lang w:val="en-US"/>
        </w:rPr>
        <w:tab/>
        <w:t>LEARNING OUTCOMES AND ELEMENTS OF THE</w:t>
      </w:r>
      <w:r>
        <w:rPr>
          <w:rFonts w:ascii="Times New Roman" w:eastAsia="Times New Roman" w:hAnsi="Times New Roman" w:cs="Times New Roman"/>
          <w:b/>
          <w:bCs/>
          <w:sz w:val="24"/>
          <w:szCs w:val="24"/>
          <w:lang w:val="en-US"/>
        </w:rPr>
        <w:t xml:space="preserve"> PERFORMANCE</w:t>
      </w:r>
    </w:p>
    <w:p w:rsidR="00F42270" w:rsidRDefault="00F42270" w:rsidP="00A03039">
      <w:pPr>
        <w:autoSpaceDE w:val="0"/>
        <w:autoSpaceDN w:val="0"/>
        <w:spacing w:after="0" w:line="240" w:lineRule="auto"/>
        <w:rPr>
          <w:rFonts w:ascii="Times New Roman" w:eastAsia="Times New Roman" w:hAnsi="Times New Roman" w:cs="Times New Roman"/>
          <w:sz w:val="24"/>
          <w:szCs w:val="24"/>
          <w:lang w:val="en-US"/>
        </w:rPr>
      </w:pPr>
    </w:p>
    <w:p w:rsidR="00F42270" w:rsidRPr="00F42270" w:rsidRDefault="00F42270" w:rsidP="00A03039">
      <w:pPr>
        <w:autoSpaceDE w:val="0"/>
        <w:autoSpaceDN w:val="0"/>
        <w:spacing w:after="0" w:line="240" w:lineRule="auto"/>
        <w:rPr>
          <w:rFonts w:ascii="Times New Roman" w:eastAsia="Times New Roman" w:hAnsi="Times New Roman" w:cs="Times New Roman"/>
          <w:b/>
          <w:bCs/>
          <w:sz w:val="24"/>
          <w:szCs w:val="24"/>
          <w:lang w:val="en-US"/>
        </w:rPr>
      </w:pPr>
      <w:r w:rsidRPr="00A03039">
        <w:rPr>
          <w:rFonts w:ascii="Times New Roman" w:eastAsia="Times New Roman" w:hAnsi="Times New Roman" w:cs="Times New Roman"/>
          <w:sz w:val="24"/>
          <w:szCs w:val="24"/>
          <w:lang w:val="en-US"/>
        </w:rPr>
        <w:t>Upon successful completion of this course, the student will demonstrate the ability to:</w:t>
      </w:r>
    </w:p>
    <w:p w:rsidR="00F42270" w:rsidRPr="00A03039" w:rsidRDefault="00F42270" w:rsidP="00A03039">
      <w:pPr>
        <w:tabs>
          <w:tab w:val="left" w:pos="786"/>
        </w:tabs>
        <w:autoSpaceDE w:val="0"/>
        <w:autoSpaceDN w:val="0"/>
        <w:spacing w:after="0" w:line="240" w:lineRule="auto"/>
        <w:ind w:left="108"/>
        <w:rPr>
          <w:rFonts w:ascii="Times New Roman" w:eastAsia="Times New Roman" w:hAnsi="Times New Roman" w:cs="Times New Roman"/>
          <w:sz w:val="24"/>
          <w:szCs w:val="24"/>
          <w:lang w:val="en-US"/>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4"/>
          <w:lang w:val="en-GB"/>
        </w:rPr>
      </w:pPr>
      <w:r w:rsidRPr="00A03039">
        <w:rPr>
          <w:rFonts w:ascii="Times New Roman" w:eastAsia="Times New Roman" w:hAnsi="Times New Roman" w:cs="Times New Roman"/>
          <w:b/>
          <w:sz w:val="24"/>
          <w:szCs w:val="24"/>
          <w:lang w:val="en-GB"/>
        </w:rPr>
        <w:t>Explain the legal obligations created by Charter of Rights and Freedoms from the perspective of a “Person in Authority.”</w:t>
      </w:r>
    </w:p>
    <w:p w:rsidR="00A03039" w:rsidRPr="00A03039" w:rsidRDefault="00A03039" w:rsidP="0021361D">
      <w:p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The Supremacy of the Constitution of Canada (Charter of Rights and Freedoms)</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Reasonable Limits (Section 1)</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Life, Liberty and Security of Person as applicable to interviewing (Section 7)</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Unreasonable Search or Seizure (Section 8)</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lastRenderedPageBreak/>
        <w:t>Arbitrary Detention (Section 9)</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Rights upon Detention (Section 10)</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Non-compellability of an accused (Section 11)</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Protection against self-incrimination (Section 13)</w:t>
      </w:r>
    </w:p>
    <w:p w:rsidR="00A03039" w:rsidRPr="00A03039" w:rsidRDefault="00A03039" w:rsidP="0021361D">
      <w:pPr>
        <w:numPr>
          <w:ilvl w:val="1"/>
          <w:numId w:val="3"/>
        </w:num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hanging="567"/>
        <w:contextualSpacing/>
        <w:rPr>
          <w:rFonts w:ascii="Times New Roman" w:eastAsia="Times New Roman" w:hAnsi="Times New Roman" w:cs="Times New Roman"/>
          <w:sz w:val="24"/>
          <w:szCs w:val="24"/>
          <w:lang w:val="en-GB"/>
        </w:rPr>
      </w:pPr>
      <w:r w:rsidRPr="00A03039">
        <w:rPr>
          <w:rFonts w:ascii="Times New Roman" w:eastAsia="Times New Roman" w:hAnsi="Times New Roman" w:cs="Times New Roman"/>
          <w:sz w:val="24"/>
          <w:szCs w:val="24"/>
          <w:lang w:val="en-GB"/>
        </w:rPr>
        <w:t>Enforcement of Guaranteed Rights and Freedoms (Section 24)</w:t>
      </w:r>
    </w:p>
    <w:p w:rsidR="00A03039" w:rsidRPr="00A03039" w:rsidRDefault="00A03039" w:rsidP="0021361D">
      <w:pPr>
        <w:tabs>
          <w:tab w:val="left" w:pos="-36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A03039">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4"/>
          <w:lang w:val="en-GB"/>
        </w:rPr>
      </w:pPr>
    </w:p>
    <w:p w:rsidR="00A03039" w:rsidRPr="00A03039" w:rsidRDefault="00A03039" w:rsidP="0021361D">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Gather information utilizing legally and ethically acceptable interviewing techniques.</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2.1</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Interview individuals and groups to collect evidence, elicit, and validate information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Recognize the differing interview techniques used when obtaining information from a witness verses obtaining information from a witness.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2.3</w:t>
      </w:r>
      <w:r>
        <w:rPr>
          <w:rFonts w:ascii="Times New Roman" w:eastAsia="Times New Roman" w:hAnsi="Times New Roman" w:cs="Times New Roman"/>
          <w:snapToGrid w:val="0"/>
          <w:sz w:val="24"/>
          <w:szCs w:val="24"/>
          <w:lang w:val="en-US"/>
        </w:rPr>
        <w:tab/>
        <w:t>D</w:t>
      </w:r>
      <w:r w:rsidR="00A03039" w:rsidRPr="00A03039">
        <w:rPr>
          <w:rFonts w:ascii="Times New Roman" w:eastAsia="Times New Roman" w:hAnsi="Times New Roman" w:cs="Times New Roman"/>
          <w:snapToGrid w:val="0"/>
          <w:sz w:val="24"/>
          <w:szCs w:val="24"/>
          <w:lang w:val="en-US"/>
        </w:rPr>
        <w:t>ifferentiate between an interview and an interrogation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2.4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Explain the advantages of non-accusatory interviewing and when accusatory interview techniques should be used</w:t>
      </w:r>
    </w:p>
    <w:p w:rsidR="0021361D" w:rsidRDefault="00A03039" w:rsidP="0021361D">
      <w:pPr>
        <w:pStyle w:val="ListParagraph"/>
        <w:numPr>
          <w:ilvl w:val="1"/>
          <w:numId w:val="9"/>
        </w:num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21361D">
        <w:rPr>
          <w:rFonts w:ascii="Times New Roman" w:eastAsia="Times New Roman" w:hAnsi="Times New Roman" w:cs="Times New Roman"/>
          <w:snapToGrid w:val="0"/>
          <w:sz w:val="24"/>
          <w:szCs w:val="24"/>
          <w:lang w:val="en-US"/>
        </w:rPr>
        <w:t>Identify when “open” and “closed” questions should be used.</w:t>
      </w:r>
    </w:p>
    <w:p w:rsidR="00A03039" w:rsidRPr="0021361D" w:rsidRDefault="00A03039" w:rsidP="0021361D">
      <w:pPr>
        <w:pStyle w:val="ListParagraph"/>
        <w:numPr>
          <w:ilvl w:val="1"/>
          <w:numId w:val="9"/>
        </w:num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21361D">
        <w:rPr>
          <w:rFonts w:ascii="Times New Roman" w:eastAsia="Times New Roman" w:hAnsi="Times New Roman" w:cs="Times New Roman"/>
          <w:snapToGrid w:val="0"/>
          <w:sz w:val="24"/>
          <w:szCs w:val="24"/>
          <w:lang w:val="en-US"/>
        </w:rPr>
        <w:t>Explain the advantages and disadvantages of assumptive questioning.</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2</w:t>
      </w:r>
      <w:r w:rsidR="0021361D">
        <w:rPr>
          <w:rFonts w:ascii="Times New Roman" w:eastAsia="Times New Roman" w:hAnsi="Times New Roman" w:cs="Times New Roman"/>
          <w:snapToGrid w:val="0"/>
          <w:sz w:val="24"/>
          <w:szCs w:val="24"/>
          <w:lang w:val="en-US"/>
        </w:rPr>
        <w:t>.7</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Comply with provincial, civil, and criminal law and use rules of evidence to guide investigation and interactions, and to ensure admissibility of evidence</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 xml:space="preserve">Select and apply appropriate interviewing techniques. </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Recognize the significance of body language and environment in the interviewing process.</w:t>
      </w:r>
    </w:p>
    <w:p w:rsid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Influence or persuade others using a variety of communication strategies and techniques.</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Choose communication strategies, techniques, and language to meet the needs of an individual or group</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Apply accepted interview techniques such as the Reid</w:t>
      </w:r>
      <w:r>
        <w:rPr>
          <w:rFonts w:ascii="Times New Roman" w:eastAsia="Times New Roman" w:hAnsi="Times New Roman" w:cs="Times New Roman"/>
          <w:snapToGrid w:val="0"/>
          <w:sz w:val="24"/>
          <w:szCs w:val="24"/>
          <w:lang w:val="en-US"/>
        </w:rPr>
        <w:t xml:space="preserve"> and PEACE</w:t>
      </w:r>
      <w:r w:rsidRPr="00A03039">
        <w:rPr>
          <w:rFonts w:ascii="Times New Roman" w:eastAsia="Times New Roman" w:hAnsi="Times New Roman" w:cs="Times New Roman"/>
          <w:snapToGrid w:val="0"/>
          <w:sz w:val="24"/>
          <w:szCs w:val="24"/>
          <w:lang w:val="en-US"/>
        </w:rPr>
        <w:t xml:space="preserve"> Interview Technique</w:t>
      </w:r>
      <w:r>
        <w:rPr>
          <w:rFonts w:ascii="Times New Roman" w:eastAsia="Times New Roman" w:hAnsi="Times New Roman" w:cs="Times New Roman"/>
          <w:snapToGrid w:val="0"/>
          <w:sz w:val="24"/>
          <w:szCs w:val="24"/>
          <w:lang w:val="en-US"/>
        </w:rPr>
        <w:t>s</w:t>
      </w:r>
      <w:r w:rsidRPr="00A03039">
        <w:rPr>
          <w:rFonts w:ascii="Times New Roman" w:eastAsia="Times New Roman" w:hAnsi="Times New Roman" w:cs="Times New Roman"/>
          <w:snapToGrid w:val="0"/>
          <w:sz w:val="24"/>
          <w:szCs w:val="24"/>
          <w:lang w:val="en-US"/>
        </w:rPr>
        <w:t xml:space="preserve"> </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Identify speech patterns that may  indicate deception</w:t>
      </w:r>
    </w:p>
    <w:p w:rsidR="00A03039" w:rsidRPr="00A03039" w:rsidRDefault="00A03039" w:rsidP="0021361D">
      <w:pPr>
        <w:numPr>
          <w:ilvl w:val="1"/>
          <w:numId w:val="4"/>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Recognize non-verbal indicators of deception</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Cs w:val="20"/>
          <w:lang w:val="en-US"/>
        </w:rPr>
      </w:pPr>
    </w:p>
    <w:p w:rsidR="006C2140" w:rsidRPr="00A03039" w:rsidRDefault="006C2140" w:rsidP="00A03039">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Apply effective communication and listening skills.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4.1</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Collect, analyze, and synthesize information through observation, research, and consultation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Explain the importance of </w:t>
      </w:r>
      <w:r>
        <w:rPr>
          <w:rFonts w:ascii="Times New Roman" w:eastAsia="Times New Roman" w:hAnsi="Times New Roman" w:cs="Times New Roman"/>
          <w:snapToGrid w:val="0"/>
          <w:sz w:val="24"/>
          <w:szCs w:val="24"/>
          <w:lang w:val="en-US"/>
        </w:rPr>
        <w:t xml:space="preserve">and how to conduct a </w:t>
      </w:r>
      <w:proofErr w:type="spellStart"/>
      <w:r w:rsidR="00A03039" w:rsidRPr="00A03039">
        <w:rPr>
          <w:rFonts w:ascii="Times New Roman" w:eastAsia="Times New Roman" w:hAnsi="Times New Roman" w:cs="Times New Roman"/>
          <w:snapToGrid w:val="0"/>
          <w:sz w:val="24"/>
          <w:szCs w:val="24"/>
          <w:lang w:val="en-US"/>
        </w:rPr>
        <w:t>Behavioural</w:t>
      </w:r>
      <w:proofErr w:type="spellEnd"/>
      <w:r w:rsidR="00A03039" w:rsidRPr="00A03039">
        <w:rPr>
          <w:rFonts w:ascii="Times New Roman" w:eastAsia="Times New Roman" w:hAnsi="Times New Roman" w:cs="Times New Roman"/>
          <w:snapToGrid w:val="0"/>
          <w:sz w:val="24"/>
          <w:szCs w:val="24"/>
          <w:lang w:val="en-US"/>
        </w:rPr>
        <w:t xml:space="preserve"> Analysis Interview</w:t>
      </w: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4.3</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Record statements and observations accurately and objectively adhering to identified Common Law, Charter and legislative requirements.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when information obtained may be classified as “Hearsay” evidence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4.5</w:t>
      </w:r>
      <w:r>
        <w:rPr>
          <w:rFonts w:ascii="Times New Roman" w:eastAsia="Times New Roman" w:hAnsi="Times New Roman" w:cs="Times New Roman"/>
          <w:snapToGrid w:val="0"/>
          <w:sz w:val="24"/>
          <w:szCs w:val="24"/>
          <w:lang w:val="en-US"/>
        </w:rPr>
        <w:tab/>
        <w:t>I</w:t>
      </w:r>
      <w:r w:rsidR="00A03039" w:rsidRPr="00A03039">
        <w:rPr>
          <w:rFonts w:ascii="Times New Roman" w:eastAsia="Times New Roman" w:hAnsi="Times New Roman" w:cs="Times New Roman"/>
          <w:snapToGrid w:val="0"/>
          <w:sz w:val="24"/>
          <w:szCs w:val="24"/>
          <w:lang w:val="en-US"/>
        </w:rPr>
        <w:t xml:space="preserve">dentify exceptions that allow the admissibility of hearsay evidence. </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380D4C" w:rsidRPr="00A03039" w:rsidRDefault="00380D4C"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lastRenderedPageBreak/>
        <w:t xml:space="preserve">Apply Charter provisions and Judges Rules when obtaining admissions/confessions </w:t>
      </w:r>
    </w:p>
    <w:p w:rsidR="00A03039" w:rsidRPr="00A03039" w:rsidRDefault="00A03039" w:rsidP="00A03039">
      <w:pPr>
        <w:tabs>
          <w:tab w:val="left" w:pos="-720"/>
        </w:tabs>
        <w:spacing w:after="0" w:line="240" w:lineRule="auto"/>
        <w:outlineLvl w:val="1"/>
        <w:rPr>
          <w:rFonts w:ascii="Times New Roman" w:eastAsia="Times New Roman" w:hAnsi="Times New Roman" w:cs="Times New Roman"/>
          <w:snapToGrid w:val="0"/>
          <w:sz w:val="24"/>
          <w:szCs w:val="24"/>
          <w:lang w:val="en-US"/>
        </w:rPr>
      </w:pPr>
    </w:p>
    <w:p w:rsidR="00A03039" w:rsidRPr="00A03039" w:rsidRDefault="00A03039"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5.1</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Explain the concept of a “Person in Authority.”</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or suspect must be “cautioned” and the purpose of the “caution”</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5.3</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suspect must be informed of his/her Charter rights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what actions/inactions constitute minor and major inducements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5.5</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Understand when a statement has been “induced” and the legal implications of information obtained from an induced statement.</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5.6</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and recognize the admissibility of </w:t>
      </w:r>
      <w:r w:rsidR="00891353">
        <w:rPr>
          <w:rFonts w:ascii="Times New Roman" w:eastAsia="Times New Roman" w:hAnsi="Times New Roman" w:cs="Times New Roman"/>
          <w:snapToGrid w:val="0"/>
          <w:sz w:val="24"/>
          <w:szCs w:val="24"/>
          <w:lang w:val="en-US"/>
        </w:rPr>
        <w:t xml:space="preserve"> </w:t>
      </w:r>
      <w:r w:rsidR="00A03039" w:rsidRPr="00A03039">
        <w:rPr>
          <w:rFonts w:ascii="Times New Roman" w:eastAsia="Times New Roman" w:hAnsi="Times New Roman" w:cs="Times New Roman"/>
          <w:snapToGrid w:val="0"/>
          <w:sz w:val="24"/>
          <w:szCs w:val="24"/>
          <w:lang w:val="en-US"/>
        </w:rPr>
        <w:t xml:space="preserve">Res </w:t>
      </w:r>
      <w:proofErr w:type="spellStart"/>
      <w:r w:rsidR="00A03039" w:rsidRPr="00A03039">
        <w:rPr>
          <w:rFonts w:ascii="Times New Roman" w:eastAsia="Times New Roman" w:hAnsi="Times New Roman" w:cs="Times New Roman"/>
          <w:snapToGrid w:val="0"/>
          <w:sz w:val="24"/>
          <w:szCs w:val="24"/>
          <w:lang w:val="en-US"/>
        </w:rPr>
        <w:t>Gestae</w:t>
      </w:r>
      <w:proofErr w:type="spellEnd"/>
      <w:r w:rsidR="00A03039" w:rsidRPr="00A03039">
        <w:rPr>
          <w:rFonts w:ascii="Times New Roman" w:eastAsia="Times New Roman" w:hAnsi="Times New Roman" w:cs="Times New Roman"/>
          <w:snapToGrid w:val="0"/>
          <w:sz w:val="24"/>
          <w:szCs w:val="24"/>
          <w:lang w:val="en-US"/>
        </w:rPr>
        <w:t xml:space="preserve"> statements.</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5.7</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Comply with provincial, civil, and criminal law and use rules of evidence to guide investigations and interactions and to ensure admissibility of evidence within the boundaries set out by court decisions defining Charter rights and limitations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b/>
          <w:snapToGrid w:val="0"/>
          <w:sz w:val="24"/>
          <w:szCs w:val="24"/>
          <w:lang w:val="en-US"/>
        </w:rPr>
        <w:t>Understand and apply the rules of evidence contained in the Canada Evidence Act regarding competence and compellability of witnesses</w:t>
      </w:r>
      <w:r w:rsidRPr="00A03039">
        <w:rPr>
          <w:rFonts w:ascii="Times New Roman" w:eastAsia="Times New Roman" w:hAnsi="Times New Roman" w:cs="Times New Roman"/>
          <w:snapToGrid w:val="0"/>
          <w:sz w:val="24"/>
          <w:szCs w:val="24"/>
          <w:lang w:val="en-US"/>
        </w:rPr>
        <w:t>.</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6.1</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is legally competent to testify</w:t>
      </w: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6.2</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 witness may be legally compelled to testify</w:t>
      </w:r>
    </w:p>
    <w:p w:rsidR="00A03039" w:rsidRPr="00A03039" w:rsidRDefault="0021361D"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6.3</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Identify when an accused and co-accused may be compellable</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6.4</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Identify the limitations of compellability and competence</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6.5</w:t>
      </w:r>
      <w:r w:rsidR="0021361D">
        <w:rPr>
          <w:rFonts w:ascii="Times New Roman" w:eastAsia="Times New Roman" w:hAnsi="Times New Roman" w:cs="Times New Roman"/>
          <w:snapToGrid w:val="0"/>
          <w:sz w:val="24"/>
          <w:szCs w:val="24"/>
          <w:lang w:val="en-US"/>
        </w:rPr>
        <w:tab/>
      </w:r>
      <w:r w:rsidRPr="00A03039">
        <w:rPr>
          <w:rFonts w:ascii="Times New Roman" w:eastAsia="Times New Roman" w:hAnsi="Times New Roman" w:cs="Times New Roman"/>
          <w:snapToGrid w:val="0"/>
          <w:sz w:val="24"/>
          <w:szCs w:val="24"/>
          <w:lang w:val="en-US"/>
        </w:rPr>
        <w:t xml:space="preserve">Complete a Subpoena    </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Cs w:val="20"/>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Identify appropriate sources of information relative to investigative needs.</w:t>
      </w: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5"/>
        </w:numPr>
        <w:tabs>
          <w:tab w:val="left" w:pos="-720"/>
        </w:tabs>
        <w:spacing w:after="0" w:line="240" w:lineRule="auto"/>
        <w:ind w:left="567" w:hanging="567"/>
        <w:contextualSpacing/>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Differentiate between witnesses, informants and “agents of the state.”</w:t>
      </w:r>
    </w:p>
    <w:p w:rsidR="00A03039" w:rsidRPr="00A03039" w:rsidRDefault="00A03039" w:rsidP="0021361D">
      <w:pPr>
        <w:numPr>
          <w:ilvl w:val="1"/>
          <w:numId w:val="5"/>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Protect confidentiality of an informant</w:t>
      </w:r>
    </w:p>
    <w:p w:rsidR="00A03039" w:rsidRPr="00A03039" w:rsidRDefault="00A03039" w:rsidP="0021361D">
      <w:pPr>
        <w:tabs>
          <w:tab w:val="left" w:pos="-720"/>
        </w:tabs>
        <w:spacing w:after="0" w:line="240" w:lineRule="auto"/>
        <w:ind w:left="567" w:hanging="567"/>
        <w:outlineLvl w:val="0"/>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A03039">
      <w:pPr>
        <w:tabs>
          <w:tab w:val="left" w:pos="-720"/>
        </w:tabs>
        <w:spacing w:after="0" w:line="240" w:lineRule="auto"/>
        <w:ind w:left="720" w:hanging="720"/>
        <w:outlineLvl w:val="0"/>
        <w:rPr>
          <w:rFonts w:ascii="Times New Roman" w:eastAsia="Times New Roman" w:hAnsi="Times New Roman" w:cs="Times New Roman"/>
          <w:b/>
          <w:snapToGrid w:val="0"/>
          <w:sz w:val="24"/>
          <w:szCs w:val="24"/>
          <w:lang w:val="en-US"/>
        </w:rPr>
      </w:pPr>
      <w:r w:rsidRPr="00A03039">
        <w:rPr>
          <w:rFonts w:ascii="Times New Roman" w:eastAsia="Times New Roman" w:hAnsi="Times New Roman" w:cs="Times New Roman"/>
          <w:b/>
          <w:snapToGrid w:val="0"/>
          <w:sz w:val="24"/>
          <w:szCs w:val="24"/>
          <w:lang w:val="en-US"/>
        </w:rPr>
        <w:t>Construct and apply descriptive factors for identification of suspects and other persons.</w:t>
      </w:r>
    </w:p>
    <w:p w:rsidR="00A03039" w:rsidRPr="00A03039" w:rsidRDefault="00A03039" w:rsidP="00A03039">
      <w:pPr>
        <w:tabs>
          <w:tab w:val="left" w:pos="-720"/>
        </w:tabs>
        <w:spacing w:after="0" w:line="240" w:lineRule="auto"/>
        <w:outlineLvl w:val="0"/>
        <w:rPr>
          <w:rFonts w:ascii="Times New Roman" w:eastAsia="Times New Roman" w:hAnsi="Times New Roman" w:cs="Times New Roman"/>
          <w:snapToGrid w:val="0"/>
          <w:sz w:val="24"/>
          <w:szCs w:val="24"/>
          <w:lang w:val="en-US"/>
        </w:rPr>
      </w:pPr>
    </w:p>
    <w:p w:rsidR="00A03039" w:rsidRPr="00A03039" w:rsidRDefault="00A03039" w:rsidP="0021361D">
      <w:pPr>
        <w:numPr>
          <w:ilvl w:val="1"/>
          <w:numId w:val="8"/>
        </w:numPr>
        <w:tabs>
          <w:tab w:val="left" w:pos="-720"/>
        </w:tabs>
        <w:spacing w:after="0" w:line="240" w:lineRule="auto"/>
        <w:ind w:left="567" w:hanging="567"/>
        <w:contextualSpacing/>
        <w:outlineLvl w:val="0"/>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Recognize the limitations or accurate “eye witness” recall.</w:t>
      </w:r>
    </w:p>
    <w:p w:rsidR="00A03039" w:rsidRPr="00A03039" w:rsidRDefault="00A03039" w:rsidP="0021361D">
      <w:pPr>
        <w:numPr>
          <w:ilvl w:val="1"/>
          <w:numId w:val="8"/>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Use questioning techniques to gather, clarify, and validate information.</w:t>
      </w:r>
    </w:p>
    <w:p w:rsidR="00A03039" w:rsidRPr="00A03039" w:rsidRDefault="00A03039" w:rsidP="0021361D">
      <w:pPr>
        <w:numPr>
          <w:ilvl w:val="1"/>
          <w:numId w:val="8"/>
        </w:numPr>
        <w:tabs>
          <w:tab w:val="left" w:pos="-720"/>
        </w:tabs>
        <w:spacing w:after="0" w:line="240" w:lineRule="auto"/>
        <w:ind w:left="567" w:hanging="567"/>
        <w:contextualSpacing/>
        <w:outlineLvl w:val="1"/>
        <w:rPr>
          <w:rFonts w:ascii="Times New Roman" w:eastAsia="Times New Roman" w:hAnsi="Times New Roman" w:cs="Times New Roman"/>
          <w:snapToGrid w:val="0"/>
          <w:sz w:val="24"/>
          <w:szCs w:val="24"/>
          <w:lang w:val="en-US"/>
        </w:rPr>
      </w:pPr>
      <w:r w:rsidRPr="00A03039">
        <w:rPr>
          <w:rFonts w:ascii="Times New Roman" w:eastAsia="Times New Roman" w:hAnsi="Times New Roman" w:cs="Times New Roman"/>
          <w:snapToGrid w:val="0"/>
          <w:sz w:val="24"/>
          <w:szCs w:val="24"/>
          <w:lang w:val="en-US"/>
        </w:rPr>
        <w:t>Record statements and observations accurately and objectively.</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8.4</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 xml:space="preserve">Identify means of suspect identify identification by witnesses </w:t>
      </w:r>
    </w:p>
    <w:p w:rsidR="00A03039" w:rsidRPr="00A03039" w:rsidRDefault="0021361D" w:rsidP="0021361D">
      <w:pPr>
        <w:tabs>
          <w:tab w:val="left" w:pos="-720"/>
        </w:tabs>
        <w:spacing w:after="0" w:line="240" w:lineRule="auto"/>
        <w:ind w:left="567" w:hanging="567"/>
        <w:outlineLvl w:val="1"/>
        <w:rPr>
          <w:rFonts w:ascii="Times New Roman" w:eastAsia="Times New Roman" w:hAnsi="Times New Roman" w:cs="Times New Roman"/>
          <w:snapToGrid w:val="0"/>
          <w:sz w:val="24"/>
          <w:szCs w:val="24"/>
          <w:lang w:val="en-US"/>
        </w:rPr>
      </w:pPr>
      <w:r>
        <w:rPr>
          <w:rFonts w:ascii="Times New Roman" w:eastAsia="Times New Roman" w:hAnsi="Times New Roman" w:cs="Times New Roman"/>
          <w:snapToGrid w:val="0"/>
          <w:sz w:val="24"/>
          <w:szCs w:val="24"/>
          <w:lang w:val="en-US"/>
        </w:rPr>
        <w:t>8.5</w:t>
      </w:r>
      <w:r>
        <w:rPr>
          <w:rFonts w:ascii="Times New Roman" w:eastAsia="Times New Roman" w:hAnsi="Times New Roman" w:cs="Times New Roman"/>
          <w:snapToGrid w:val="0"/>
          <w:sz w:val="24"/>
          <w:szCs w:val="24"/>
          <w:lang w:val="en-US"/>
        </w:rPr>
        <w:tab/>
      </w:r>
      <w:r w:rsidR="00A03039" w:rsidRPr="00A03039">
        <w:rPr>
          <w:rFonts w:ascii="Times New Roman" w:eastAsia="Times New Roman" w:hAnsi="Times New Roman" w:cs="Times New Roman"/>
          <w:snapToGrid w:val="0"/>
          <w:sz w:val="24"/>
          <w:szCs w:val="24"/>
          <w:lang w:val="en-US"/>
        </w:rPr>
        <w:t>Explain how to conduct simultaneous and sequential photo line-ups, and identify the advantages and disadvantages of each method.</w:t>
      </w:r>
    </w:p>
    <w:p w:rsidR="00A03039" w:rsidRPr="00A03039" w:rsidRDefault="00A03039" w:rsidP="00A03039">
      <w:pPr>
        <w:tabs>
          <w:tab w:val="left" w:pos="-720"/>
        </w:tabs>
        <w:spacing w:after="0" w:line="240" w:lineRule="auto"/>
        <w:ind w:left="1440"/>
        <w:outlineLvl w:val="1"/>
        <w:rPr>
          <w:rFonts w:ascii="Times New Roman" w:eastAsia="Times New Roman" w:hAnsi="Times New Roman" w:cs="Times New Roman"/>
          <w:snapToGrid w:val="0"/>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b/>
          <w:sz w:val="24"/>
          <w:szCs w:val="24"/>
          <w:lang w:val="en-US"/>
        </w:rPr>
      </w:pPr>
      <w:r w:rsidRPr="00A03039">
        <w:rPr>
          <w:rFonts w:ascii="Times New Roman" w:eastAsia="Times New Roman" w:hAnsi="Times New Roman" w:cs="Times New Roman"/>
          <w:b/>
          <w:sz w:val="24"/>
          <w:szCs w:val="24"/>
          <w:lang w:val="en-US"/>
        </w:rPr>
        <w:t>Identify the enhanced procedural requirements created by the Youth Criminal Justice Act and the Provincial Offences Act regarding taking of statements from Young Persons.</w:t>
      </w: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Enhanced legal rights of Young Persons</w:t>
      </w: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“Caution” requirements, including recognition of inducements</w:t>
      </w:r>
    </w:p>
    <w:p w:rsidR="00A03039" w:rsidRPr="00A03039" w:rsidRDefault="0021361D" w:rsidP="0021361D">
      <w:pPr>
        <w:tabs>
          <w:tab w:val="left" w:pos="-720"/>
        </w:tabs>
        <w:spacing w:after="0" w:line="24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r>
        <w:rPr>
          <w:rFonts w:ascii="Times New Roman" w:eastAsia="Times New Roman" w:hAnsi="Times New Roman" w:cs="Times New Roman"/>
          <w:sz w:val="24"/>
          <w:szCs w:val="24"/>
          <w:lang w:val="en-US"/>
        </w:rPr>
        <w:tab/>
      </w:r>
      <w:r w:rsidR="00A03039" w:rsidRPr="00A03039">
        <w:rPr>
          <w:rFonts w:ascii="Times New Roman" w:eastAsia="Times New Roman" w:hAnsi="Times New Roman" w:cs="Times New Roman"/>
          <w:sz w:val="24"/>
          <w:szCs w:val="24"/>
          <w:lang w:val="en-US"/>
        </w:rPr>
        <w:t xml:space="preserve">Statement taking procedures, Youth Criminal Justice Act </w:t>
      </w:r>
    </w:p>
    <w:p w:rsidR="00F42270" w:rsidRDefault="00F42270" w:rsidP="00A03039">
      <w:pPr>
        <w:tabs>
          <w:tab w:val="left" w:pos="-720"/>
        </w:tabs>
        <w:spacing w:after="0" w:line="240" w:lineRule="auto"/>
        <w:rPr>
          <w:rFonts w:ascii="Times New Roman" w:eastAsia="Times New Roman" w:hAnsi="Times New Roman" w:cs="Times New Roman"/>
          <w:b/>
          <w:sz w:val="24"/>
          <w:szCs w:val="24"/>
          <w:lang w:val="en-US"/>
        </w:rPr>
      </w:pPr>
    </w:p>
    <w:p w:rsidR="00A03039" w:rsidRPr="00A03039" w:rsidRDefault="00A03039" w:rsidP="00A03039">
      <w:pPr>
        <w:tabs>
          <w:tab w:val="left" w:pos="-720"/>
        </w:tabs>
        <w:spacing w:after="0" w:line="240" w:lineRule="auto"/>
        <w:rPr>
          <w:rFonts w:ascii="Times New Roman" w:eastAsia="Times New Roman" w:hAnsi="Times New Roman" w:cs="Times New Roman"/>
          <w:b/>
          <w:sz w:val="24"/>
          <w:szCs w:val="24"/>
          <w:lang w:val="en-US"/>
        </w:rPr>
      </w:pPr>
      <w:r w:rsidRPr="00A03039">
        <w:rPr>
          <w:rFonts w:ascii="Times New Roman" w:eastAsia="Times New Roman" w:hAnsi="Times New Roman" w:cs="Times New Roman"/>
          <w:b/>
          <w:sz w:val="24"/>
          <w:szCs w:val="24"/>
          <w:lang w:val="en-US"/>
        </w:rPr>
        <w:lastRenderedPageBreak/>
        <w:t>III.</w:t>
      </w:r>
      <w:r w:rsidRPr="00A03039">
        <w:rPr>
          <w:rFonts w:ascii="Times New Roman" w:eastAsia="Times New Roman" w:hAnsi="Times New Roman" w:cs="Times New Roman"/>
          <w:b/>
          <w:sz w:val="24"/>
          <w:szCs w:val="24"/>
          <w:lang w:val="en-US"/>
        </w:rPr>
        <w:tab/>
        <w:t>COURSE TOPICS:</w:t>
      </w:r>
    </w:p>
    <w:p w:rsidR="00A03039" w:rsidRPr="00A03039" w:rsidRDefault="00A03039" w:rsidP="00A03039">
      <w:pPr>
        <w:tabs>
          <w:tab w:val="left" w:pos="-720"/>
        </w:tabs>
        <w:spacing w:after="0" w:line="240" w:lineRule="auto"/>
        <w:rPr>
          <w:rFonts w:ascii="Times New Roman" w:eastAsia="Times New Roman" w:hAnsi="Times New Roman" w:cs="Times New Roman"/>
          <w:sz w:val="24"/>
          <w:szCs w:val="24"/>
          <w:lang w:val="en-US"/>
        </w:rPr>
      </w:pP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Definitions and terms relating to investigative procedures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Basic investigative principles, procedures and sequence </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The Charter of  Rights and Freedoms relating to investigations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Rules of evidence regarding the admissibility of statements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Interview techniques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Victim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Witness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Suspect interviews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Interrogation principles and procedures</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Detecting deception</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Recording statements </w:t>
      </w:r>
    </w:p>
    <w:p w:rsidR="00A03039" w:rsidRPr="00A03039" w:rsidRDefault="00A03039" w:rsidP="0021361D">
      <w:pPr>
        <w:numPr>
          <w:ilvl w:val="0"/>
          <w:numId w:val="2"/>
        </w:numPr>
        <w:tabs>
          <w:tab w:val="clear" w:pos="720"/>
          <w:tab w:val="left" w:pos="-720"/>
          <w:tab w:val="num" w:pos="993"/>
        </w:tabs>
        <w:spacing w:after="0" w:line="240" w:lineRule="auto"/>
        <w:ind w:left="993" w:hanging="633"/>
        <w:rPr>
          <w:rFonts w:ascii="Times New Roman" w:eastAsia="Times New Roman" w:hAnsi="Times New Roman" w:cs="Times New Roman"/>
          <w:sz w:val="24"/>
          <w:szCs w:val="24"/>
          <w:lang w:val="en-US"/>
        </w:rPr>
      </w:pPr>
      <w:r w:rsidRPr="00A03039">
        <w:rPr>
          <w:rFonts w:ascii="Times New Roman" w:eastAsia="Times New Roman" w:hAnsi="Times New Roman" w:cs="Times New Roman"/>
          <w:sz w:val="24"/>
          <w:szCs w:val="24"/>
          <w:lang w:val="en-US"/>
        </w:rPr>
        <w:t xml:space="preserve">The legal rights of Young Persons </w:t>
      </w:r>
    </w:p>
    <w:p w:rsidR="00A03039" w:rsidRDefault="00A03039" w:rsidP="00A03039">
      <w:pPr>
        <w:rPr>
          <w:rFonts w:ascii="Times New Roman" w:hAnsi="Times New Roman" w:cs="Times New Roman"/>
        </w:rPr>
      </w:pPr>
    </w:p>
    <w:p w:rsidR="00D4237E" w:rsidRDefault="00D4237E" w:rsidP="00A03039">
      <w:pPr>
        <w:rPr>
          <w:rFonts w:ascii="Times New Roman" w:hAnsi="Times New Roman" w:cs="Times New Roman"/>
        </w:rPr>
      </w:pPr>
    </w:p>
    <w:p w:rsidR="00D4237E" w:rsidRPr="00D4237E" w:rsidRDefault="00D4237E" w:rsidP="00D4237E">
      <w:pPr>
        <w:rPr>
          <w:rFonts w:ascii="Times New Roman" w:hAnsi="Times New Roman" w:cs="Times New Roman"/>
        </w:rPr>
      </w:pPr>
      <w:r>
        <w:rPr>
          <w:rFonts w:ascii="Times New Roman" w:hAnsi="Times New Roman" w:cs="Times New Roman"/>
          <w:b/>
          <w:bCs/>
          <w:lang w:val="en-US"/>
        </w:rPr>
        <w:t>IV</w:t>
      </w:r>
      <w:r w:rsidRPr="00D4237E">
        <w:rPr>
          <w:rFonts w:ascii="Times New Roman" w:hAnsi="Times New Roman" w:cs="Times New Roman"/>
          <w:b/>
          <w:bCs/>
          <w:lang w:val="en-US"/>
        </w:rPr>
        <w:t>.</w:t>
      </w:r>
      <w:r w:rsidRPr="00D4237E">
        <w:rPr>
          <w:rFonts w:ascii="Times New Roman" w:hAnsi="Times New Roman" w:cs="Times New Roman"/>
          <w:b/>
          <w:bCs/>
          <w:lang w:val="en-US"/>
        </w:rPr>
        <w:tab/>
        <w:t>REQUIRED RESOURCES/TEXTS/MATERIALS:</w:t>
      </w:r>
    </w:p>
    <w:p w:rsidR="00D4237E" w:rsidRPr="00D4237E" w:rsidRDefault="00D4237E" w:rsidP="00D4237E">
      <w:pPr>
        <w:rPr>
          <w:rFonts w:ascii="Times New Roman" w:hAnsi="Times New Roman" w:cs="Times New Roman"/>
        </w:rPr>
      </w:pPr>
      <w:r w:rsidRPr="00D4237E">
        <w:rPr>
          <w:rFonts w:ascii="Times New Roman" w:hAnsi="Times New Roman" w:cs="Times New Roman"/>
          <w:lang w:val="en-US"/>
        </w:rPr>
        <w:t>Interviewing and Investigation 2</w:t>
      </w:r>
      <w:r w:rsidRPr="00D4237E">
        <w:rPr>
          <w:rFonts w:ascii="Times New Roman" w:hAnsi="Times New Roman" w:cs="Times New Roman"/>
          <w:vertAlign w:val="superscript"/>
          <w:lang w:val="en-US"/>
        </w:rPr>
        <w:t>nd</w:t>
      </w:r>
      <w:r w:rsidRPr="00D4237E">
        <w:rPr>
          <w:rFonts w:ascii="Times New Roman" w:hAnsi="Times New Roman" w:cs="Times New Roman"/>
          <w:lang w:val="en-US"/>
        </w:rPr>
        <w:t xml:space="preserve"> Edition    </w:t>
      </w:r>
      <w:proofErr w:type="spellStart"/>
      <w:r w:rsidRPr="00D4237E">
        <w:rPr>
          <w:rFonts w:ascii="Times New Roman" w:hAnsi="Times New Roman" w:cs="Times New Roman"/>
          <w:lang w:val="en-US"/>
        </w:rPr>
        <w:t>Emond</w:t>
      </w:r>
      <w:proofErr w:type="spellEnd"/>
      <w:r w:rsidRPr="00D4237E">
        <w:rPr>
          <w:rFonts w:ascii="Times New Roman" w:hAnsi="Times New Roman" w:cs="Times New Roman"/>
          <w:lang w:val="en-US"/>
        </w:rPr>
        <w:t xml:space="preserve"> Montgomery Publications</w:t>
      </w:r>
    </w:p>
    <w:p w:rsidR="00D4237E" w:rsidRPr="00D4237E" w:rsidRDefault="00D4237E" w:rsidP="00D4237E">
      <w:pPr>
        <w:rPr>
          <w:rFonts w:ascii="Times New Roman" w:hAnsi="Times New Roman" w:cs="Times New Roman"/>
        </w:rPr>
      </w:pPr>
      <w:r w:rsidRPr="00D4237E">
        <w:rPr>
          <w:rFonts w:ascii="Times New Roman" w:hAnsi="Times New Roman" w:cs="Times New Roman"/>
          <w:lang w:val="en-US"/>
        </w:rPr>
        <w:t>Criminal</w:t>
      </w:r>
      <w:r>
        <w:rPr>
          <w:rFonts w:ascii="Times New Roman" w:hAnsi="Times New Roman" w:cs="Times New Roman"/>
          <w:lang w:val="en-US"/>
        </w:rPr>
        <w:t xml:space="preserve"> Code of Canada, Martin’s   2013</w:t>
      </w:r>
      <w:r w:rsidRPr="00D4237E">
        <w:rPr>
          <w:rFonts w:ascii="Times New Roman" w:hAnsi="Times New Roman" w:cs="Times New Roman"/>
          <w:lang w:val="en-US"/>
        </w:rPr>
        <w:t xml:space="preserve"> or 201</w:t>
      </w:r>
      <w:r>
        <w:rPr>
          <w:rFonts w:ascii="Times New Roman" w:hAnsi="Times New Roman" w:cs="Times New Roman"/>
          <w:lang w:val="en-US"/>
        </w:rPr>
        <w:t>4</w:t>
      </w:r>
      <w:r w:rsidRPr="00D4237E">
        <w:rPr>
          <w:rFonts w:ascii="Times New Roman" w:hAnsi="Times New Roman" w:cs="Times New Roman"/>
          <w:lang w:val="en-US"/>
        </w:rPr>
        <w:t xml:space="preserve"> edition</w:t>
      </w:r>
    </w:p>
    <w:p w:rsidR="00D4237E" w:rsidRPr="00A03039" w:rsidRDefault="00D4237E" w:rsidP="00A03039">
      <w:pPr>
        <w:rPr>
          <w:rFonts w:ascii="Times New Roman" w:hAnsi="Times New Roman" w:cs="Times New Roman"/>
        </w:rPr>
      </w:pPr>
    </w:p>
    <w:p w:rsidR="002045E3" w:rsidRPr="00116B08" w:rsidRDefault="002045E3" w:rsidP="002045E3">
      <w:pPr>
        <w:spacing w:after="0" w:line="240" w:lineRule="auto"/>
        <w:rPr>
          <w:rFonts w:ascii="Arial" w:eastAsia="Times New Roman" w:hAnsi="Arial" w:cs="Arial"/>
          <w:sz w:val="24"/>
          <w:szCs w:val="20"/>
          <w:lang w:val="en-US"/>
        </w:rPr>
      </w:pPr>
    </w:p>
    <w:tbl>
      <w:tblPr>
        <w:tblW w:w="8931" w:type="dxa"/>
        <w:tblLayout w:type="fixed"/>
        <w:tblLook w:val="0000" w:firstRow="0" w:lastRow="0" w:firstColumn="0" w:lastColumn="0" w:noHBand="0" w:noVBand="0"/>
      </w:tblPr>
      <w:tblGrid>
        <w:gridCol w:w="675"/>
        <w:gridCol w:w="1701"/>
        <w:gridCol w:w="4678"/>
        <w:gridCol w:w="1802"/>
        <w:gridCol w:w="75"/>
      </w:tblGrid>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V.</w:t>
            </w:r>
          </w:p>
        </w:tc>
        <w:tc>
          <w:tcPr>
            <w:tcW w:w="8181" w:type="dxa"/>
            <w:gridSpan w:val="3"/>
            <w:shd w:val="clear" w:color="auto" w:fill="auto"/>
          </w:tcPr>
          <w:p w:rsidR="002045E3" w:rsidRPr="00116B08" w:rsidRDefault="002045E3" w:rsidP="00E46F14">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EVALUATION PROCESS/GRADING SYSTEM:</w:t>
            </w:r>
          </w:p>
          <w:p w:rsidR="002045E3" w:rsidRPr="00116B08" w:rsidRDefault="0021361D" w:rsidP="00E46F14">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Mid-</w:t>
            </w:r>
            <w:r w:rsidR="002045E3" w:rsidRPr="00116B08">
              <w:rPr>
                <w:rFonts w:ascii="Arial" w:eastAsia="Times New Roman" w:hAnsi="Arial" w:cs="Arial"/>
                <w:sz w:val="24"/>
                <w:szCs w:val="20"/>
                <w:lang w:val="en-US"/>
              </w:rPr>
              <w:t>term Exam   25%</w:t>
            </w: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Video Interview  15%</w:t>
            </w: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Quizzes   2x5%   10%</w:t>
            </w: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Assignments (case studies) 4x5%    20%</w:t>
            </w: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Final Exam  30%  </w:t>
            </w:r>
          </w:p>
          <w:p w:rsidR="002045E3" w:rsidRPr="00116B08" w:rsidRDefault="002045E3" w:rsidP="00E46F14">
            <w:pPr>
              <w:spacing w:after="0" w:line="240" w:lineRule="auto"/>
              <w:rPr>
                <w:rFonts w:ascii="Arial" w:eastAsia="Times New Roman" w:hAnsi="Arial" w:cs="Arial"/>
                <w:sz w:val="24"/>
                <w:szCs w:val="20"/>
                <w:lang w:val="en-US"/>
              </w:rPr>
            </w:pPr>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8181" w:type="dxa"/>
            <w:gridSpan w:val="3"/>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following grades will be assigned to students:</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p>
          <w:p w:rsidR="002045E3" w:rsidRPr="00116B08" w:rsidRDefault="002045E3" w:rsidP="0021361D">
            <w:pPr>
              <w:keepNext/>
              <w:spacing w:after="0" w:line="240" w:lineRule="auto"/>
              <w:outlineLvl w:val="1"/>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Grade</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p>
          <w:p w:rsidR="002045E3" w:rsidRPr="00116B08" w:rsidRDefault="002045E3" w:rsidP="00E46F14">
            <w:pPr>
              <w:keepNext/>
              <w:spacing w:after="0" w:line="240" w:lineRule="auto"/>
              <w:jc w:val="center"/>
              <w:outlineLvl w:val="0"/>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Definition</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iCs/>
                <w:sz w:val="24"/>
                <w:szCs w:val="20"/>
                <w:lang w:val="en-US"/>
              </w:rPr>
            </w:pPr>
            <w:r w:rsidRPr="00116B08">
              <w:rPr>
                <w:rFonts w:ascii="Arial" w:eastAsia="Times New Roman" w:hAnsi="Arial" w:cs="Arial"/>
                <w:iCs/>
                <w:sz w:val="24"/>
                <w:szCs w:val="20"/>
                <w:lang w:val="en-US"/>
              </w:rPr>
              <w:t xml:space="preserve">Grade Point </w:t>
            </w:r>
            <w:r w:rsidRPr="00116B08">
              <w:rPr>
                <w:rFonts w:ascii="Arial" w:eastAsia="Times New Roman" w:hAnsi="Arial" w:cs="Arial"/>
                <w:iCs/>
                <w:sz w:val="24"/>
                <w:szCs w:val="20"/>
                <w:u w:val="single"/>
                <w:lang w:val="en-US"/>
              </w:rPr>
              <w:t>Equivalent</w:t>
            </w:r>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90 – 100%</w:t>
            </w:r>
          </w:p>
        </w:tc>
        <w:tc>
          <w:tcPr>
            <w:tcW w:w="1802" w:type="dxa"/>
            <w:vMerge w:val="restart"/>
            <w:shd w:val="clear" w:color="auto" w:fill="auto"/>
            <w:vAlign w:val="center"/>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4.00</w:t>
            </w:r>
          </w:p>
        </w:tc>
      </w:tr>
      <w:tr w:rsidR="002045E3" w:rsidRPr="00116B08" w:rsidTr="00F42270">
        <w:trPr>
          <w:gridAfter w:val="1"/>
          <w:wAfter w:w="75" w:type="dxa"/>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80 – 89%</w:t>
            </w:r>
          </w:p>
        </w:tc>
        <w:tc>
          <w:tcPr>
            <w:tcW w:w="1802" w:type="dxa"/>
            <w:vMerge/>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B</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70 – 79%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3.00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60 – 69%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2.00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50 – 59%</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1.00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F (Fail)</w:t>
            </w:r>
          </w:p>
        </w:tc>
        <w:tc>
          <w:tcPr>
            <w:tcW w:w="4678"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49% and below</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0.00</w:t>
            </w: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 (Credit)</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Credit for diploma requirements has been awarded.</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Satisfactory achievement in field /clinical placement or non-graded subject area.</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Unsatisfactory achievement in </w:t>
            </w:r>
            <w:r w:rsidRPr="00116B08">
              <w:rPr>
                <w:rFonts w:ascii="Arial" w:eastAsia="Times New Roman" w:hAnsi="Arial" w:cs="Arial"/>
                <w:sz w:val="24"/>
                <w:szCs w:val="20"/>
                <w:lang w:val="en-US"/>
              </w:rPr>
              <w:lastRenderedPageBreak/>
              <w:t>field/clinical placement or non-graded subject area.</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X</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NR</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Grade not reported to Registrar's office.  </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gridAfter w:val="1"/>
          <w:wAfter w:w="75" w:type="dxa"/>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1701"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w:t>
            </w:r>
          </w:p>
        </w:tc>
        <w:tc>
          <w:tcPr>
            <w:tcW w:w="4678"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Student has withdrawn from the course without academic penalty.</w:t>
            </w:r>
          </w:p>
        </w:tc>
        <w:tc>
          <w:tcPr>
            <w:tcW w:w="1802" w:type="dxa"/>
            <w:shd w:val="clear" w:color="auto" w:fill="auto"/>
          </w:tcPr>
          <w:p w:rsidR="002045E3" w:rsidRPr="00116B08" w:rsidRDefault="002045E3" w:rsidP="00E46F14">
            <w:pPr>
              <w:spacing w:after="0" w:line="240" w:lineRule="auto"/>
              <w:jc w:val="center"/>
              <w:rPr>
                <w:rFonts w:ascii="Arial" w:eastAsia="Times New Roman" w:hAnsi="Arial" w:cs="Arial"/>
                <w:sz w:val="24"/>
                <w:szCs w:val="20"/>
                <w:lang w:val="en-US"/>
              </w:rPr>
            </w:pPr>
          </w:p>
        </w:tc>
      </w:tr>
      <w:tr w:rsidR="002045E3" w:rsidRPr="00116B08" w:rsidTr="00F42270">
        <w:trPr>
          <w:cantSplit/>
        </w:trPr>
        <w:tc>
          <w:tcPr>
            <w:tcW w:w="675" w:type="dxa"/>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p>
        </w:tc>
        <w:tc>
          <w:tcPr>
            <w:tcW w:w="8256" w:type="dxa"/>
            <w:gridSpan w:val="4"/>
            <w:shd w:val="clear" w:color="auto" w:fill="auto"/>
          </w:tcPr>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b/>
                <w:bCs/>
                <w:sz w:val="24"/>
                <w:szCs w:val="20"/>
                <w:lang w:val="en-US"/>
              </w:rPr>
              <w:t xml:space="preserve">Note:  </w:t>
            </w:r>
            <w:r w:rsidRPr="00116B08">
              <w:rPr>
                <w:rFonts w:ascii="Arial" w:eastAsia="Times New Roman" w:hAnsi="Arial" w:cs="Arial"/>
                <w:sz w:val="24"/>
                <w:szCs w:val="20"/>
                <w:lang w:val="en-US"/>
              </w:rPr>
              <w:t>For such reasons as program certification or program articulation, certain courses require minimums of greater than 50% and/or have mandatory components to achieve a passing grade.</w:t>
            </w:r>
          </w:p>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b/>
                <w:bCs/>
                <w:szCs w:val="20"/>
                <w:lang w:val="en-US"/>
              </w:rPr>
            </w:pPr>
            <w:r w:rsidRPr="00116B08">
              <w:rPr>
                <w:rFonts w:ascii="Arial" w:eastAsia="Times New Roman" w:hAnsi="Arial" w:cs="Arial"/>
                <w:b/>
                <w:bCs/>
                <w:szCs w:val="20"/>
                <w:lang w:val="en-US"/>
              </w:rPr>
              <w:t>Students</w:t>
            </w:r>
            <w:r w:rsidR="00715CC9">
              <w:rPr>
                <w:rFonts w:ascii="Arial" w:eastAsia="Times New Roman" w:hAnsi="Arial" w:cs="Arial"/>
                <w:b/>
                <w:bCs/>
                <w:szCs w:val="20"/>
                <w:lang w:val="en-US"/>
              </w:rPr>
              <w:t xml:space="preserve"> enrolled in Police Foundations </w:t>
            </w:r>
            <w:r w:rsidRPr="00116B08">
              <w:rPr>
                <w:rFonts w:ascii="Arial" w:eastAsia="Times New Roman" w:hAnsi="Arial" w:cs="Arial"/>
                <w:b/>
                <w:bCs/>
                <w:szCs w:val="20"/>
                <w:lang w:val="en-US"/>
              </w:rPr>
              <w:t>or Protection, Security and Investigation programs will require a minimum of 60% (C) as a passing grade in each course.</w:t>
            </w:r>
          </w:p>
          <w:p w:rsidR="002045E3" w:rsidRPr="00116B08" w:rsidRDefault="002045E3" w:rsidP="00E46F14">
            <w:pPr>
              <w:spacing w:after="0" w:line="240" w:lineRule="auto"/>
              <w:rPr>
                <w:rFonts w:ascii="Arial" w:eastAsia="Times New Roman" w:hAnsi="Arial" w:cs="Arial"/>
                <w:sz w:val="24"/>
                <w:szCs w:val="20"/>
                <w:lang w:val="en-US"/>
              </w:rPr>
            </w:pPr>
          </w:p>
          <w:p w:rsidR="002045E3" w:rsidRPr="00116B08" w:rsidRDefault="002045E3" w:rsidP="00E46F14">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It is also important to note, that the minimum overall GPA required to graduate from a Sault College program is 2.0.</w:t>
            </w:r>
          </w:p>
        </w:tc>
      </w:tr>
    </w:tbl>
    <w:p w:rsidR="0021361D" w:rsidRDefault="0021361D" w:rsidP="002045E3">
      <w:pPr>
        <w:jc w:val="center"/>
      </w:pPr>
    </w:p>
    <w:p w:rsidR="0021361D" w:rsidRDefault="008C6926" w:rsidP="008C6926">
      <w:r w:rsidRPr="008C6926">
        <w:rPr>
          <w:rFonts w:ascii="Arial" w:hAnsi="Arial" w:cs="Arial"/>
          <w:iCs/>
          <w:lang w:val="en-US"/>
        </w:rPr>
        <w:t xml:space="preserve">If a faculty member determines that a student is at risk of not being academically successful, the faculty member may confidentially provide that student’s name to Student Services in an effort to help with the </w:t>
      </w:r>
      <w:r w:rsidRPr="008C6926">
        <w:rPr>
          <w:rFonts w:ascii="Arial" w:hAnsi="Arial" w:cs="Arial"/>
          <w:iCs/>
          <w:lang w:val="en-US"/>
        </w:rPr>
        <w:t>student’s success</w:t>
      </w:r>
      <w:r w:rsidRPr="008C6926">
        <w:rPr>
          <w:rFonts w:ascii="Arial" w:hAnsi="Arial" w:cs="Arial"/>
          <w:iCs/>
          <w:lang w:val="en-US"/>
        </w:rPr>
        <w:t>. Students wishing to restrict the sharing of such information should make their wishes known to the coordinator or faculty member</w:t>
      </w:r>
      <w:r>
        <w:rPr>
          <w:i/>
          <w:iCs/>
          <w:lang w:val="en-US"/>
        </w:rPr>
        <w:t xml:space="preserve">. </w:t>
      </w:r>
    </w:p>
    <w:tbl>
      <w:tblPr>
        <w:tblW w:w="10632" w:type="dxa"/>
        <w:tblInd w:w="-601" w:type="dxa"/>
        <w:tblLayout w:type="fixed"/>
        <w:tblLook w:val="0000" w:firstRow="0" w:lastRow="0" w:firstColumn="0" w:lastColumn="0" w:noHBand="0" w:noVBand="0"/>
      </w:tblPr>
      <w:tblGrid>
        <w:gridCol w:w="567"/>
        <w:gridCol w:w="10065"/>
      </w:tblGrid>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rFonts w:ascii="Arial" w:hAnsi="Arial"/>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tbl>
            <w:tblPr>
              <w:tblW w:w="0" w:type="auto"/>
              <w:tblLayout w:type="fixed"/>
              <w:tblLook w:val="04A0" w:firstRow="1" w:lastRow="0" w:firstColumn="1" w:lastColumn="0" w:noHBand="0" w:noVBand="1"/>
            </w:tblPr>
            <w:tblGrid>
              <w:gridCol w:w="675"/>
              <w:gridCol w:w="8181"/>
            </w:tblGrid>
            <w:tr w:rsidR="008C6926" w:rsidTr="008C6926">
              <w:trPr>
                <w:cantSplit/>
              </w:trPr>
              <w:tc>
                <w:tcPr>
                  <w:tcW w:w="675" w:type="dxa"/>
                  <w:hideMark/>
                </w:tcPr>
                <w:p w:rsidR="008C6926" w:rsidRPr="008C6926" w:rsidRDefault="008C6926">
                  <w:pPr>
                    <w:rPr>
                      <w:rFonts w:ascii="Arial" w:hAnsi="Arial" w:cs="Arial"/>
                      <w:b/>
                      <w:sz w:val="24"/>
                      <w:szCs w:val="24"/>
                    </w:rPr>
                  </w:pPr>
                  <w:r w:rsidRPr="008C6926">
                    <w:rPr>
                      <w:rFonts w:ascii="Arial" w:hAnsi="Arial" w:cs="Arial"/>
                      <w:b/>
                    </w:rPr>
                    <w:t>VII.</w:t>
                  </w:r>
                </w:p>
              </w:tc>
              <w:tc>
                <w:tcPr>
                  <w:tcW w:w="8181" w:type="dxa"/>
                </w:tcPr>
                <w:p w:rsidR="008C6926" w:rsidRPr="008C6926" w:rsidRDefault="008C6926">
                  <w:pPr>
                    <w:rPr>
                      <w:rFonts w:ascii="Arial" w:hAnsi="Arial" w:cs="Arial"/>
                      <w:b/>
                      <w:sz w:val="24"/>
                      <w:szCs w:val="24"/>
                    </w:rPr>
                  </w:pPr>
                  <w:r w:rsidRPr="008C6926">
                    <w:rPr>
                      <w:rFonts w:ascii="Arial" w:hAnsi="Arial" w:cs="Arial"/>
                      <w:b/>
                    </w:rPr>
                    <w:t>COURSE OUTLINE ADDENDUM:</w:t>
                  </w:r>
                </w:p>
              </w:tc>
            </w:tr>
            <w:tr w:rsidR="008C6926" w:rsidTr="008C6926">
              <w:trPr>
                <w:cantSplit/>
              </w:trPr>
              <w:tc>
                <w:tcPr>
                  <w:tcW w:w="675" w:type="dxa"/>
                </w:tcPr>
                <w:p w:rsidR="008C6926" w:rsidRPr="008C6926" w:rsidRDefault="008C6926">
                  <w:pPr>
                    <w:rPr>
                      <w:rFonts w:ascii="Arial" w:hAnsi="Arial" w:cs="Arial"/>
                      <w:sz w:val="24"/>
                      <w:szCs w:val="24"/>
                    </w:rPr>
                  </w:pPr>
                </w:p>
              </w:tc>
              <w:tc>
                <w:tcPr>
                  <w:tcW w:w="8181" w:type="dxa"/>
                  <w:hideMark/>
                </w:tcPr>
                <w:p w:rsidR="008C6926" w:rsidRPr="008C6926" w:rsidRDefault="008C6926">
                  <w:pPr>
                    <w:rPr>
                      <w:rFonts w:ascii="Arial" w:hAnsi="Arial" w:cs="Arial"/>
                      <w:sz w:val="24"/>
                      <w:szCs w:val="24"/>
                    </w:rPr>
                  </w:pPr>
                  <w:r w:rsidRPr="008C6926">
                    <w:rPr>
                      <w:rFonts w:ascii="Arial" w:hAnsi="Arial" w:cs="Arial"/>
                    </w:rPr>
                    <w:t>The provisions contained in the addendum are located on the portal and form part of this course outline.</w:t>
                  </w:r>
                </w:p>
              </w:tc>
            </w:tr>
          </w:tbl>
          <w:p w:rsidR="002045E3" w:rsidRDefault="002045E3" w:rsidP="0021361D">
            <w:pPr>
              <w:spacing w:afterLines="120" w:after="288" w:line="240" w:lineRule="auto"/>
              <w:rPr>
                <w:rFonts w:ascii="Arial" w:hAnsi="Arial"/>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color w:val="0000FF"/>
                <w:szCs w:val="24"/>
                <w:lang w:eastAsia="en-CA"/>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Default="002045E3" w:rsidP="0021361D">
            <w:pPr>
              <w:spacing w:afterLines="120" w:after="288" w:line="240" w:lineRule="auto"/>
              <w:rPr>
                <w:rFonts w:ascii="Arial" w:hAnsi="Arial"/>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rFonts w:ascii="Arial" w:hAnsi="Arial" w:cs="Arial"/>
                <w:iCs/>
                <w:szCs w:val="24"/>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i/>
                <w:sz w:val="20"/>
              </w:rPr>
            </w:pPr>
          </w:p>
        </w:tc>
      </w:tr>
      <w:tr w:rsidR="002045E3" w:rsidTr="00E46F14">
        <w:trPr>
          <w:cantSplit/>
        </w:trPr>
        <w:tc>
          <w:tcPr>
            <w:tcW w:w="567" w:type="dxa"/>
          </w:tcPr>
          <w:p w:rsidR="002045E3" w:rsidRDefault="002045E3" w:rsidP="0021361D">
            <w:pPr>
              <w:spacing w:afterLines="120" w:after="288" w:line="240" w:lineRule="auto"/>
              <w:rPr>
                <w:rFonts w:ascii="Arial" w:hAnsi="Arial"/>
              </w:rPr>
            </w:pPr>
          </w:p>
        </w:tc>
        <w:tc>
          <w:tcPr>
            <w:tcW w:w="10065" w:type="dxa"/>
          </w:tcPr>
          <w:p w:rsidR="002045E3" w:rsidRPr="0021361D" w:rsidRDefault="002045E3" w:rsidP="0021361D">
            <w:pPr>
              <w:spacing w:afterLines="120" w:after="288" w:line="240" w:lineRule="auto"/>
              <w:rPr>
                <w:rFonts w:ascii="Arial" w:hAnsi="Arial" w:cs="Arial"/>
                <w:szCs w:val="24"/>
                <w:lang w:eastAsia="en-CA"/>
              </w:rPr>
            </w:pPr>
          </w:p>
        </w:tc>
      </w:tr>
    </w:tbl>
    <w:p w:rsidR="002045E3" w:rsidRDefault="002045E3" w:rsidP="0021361D">
      <w:pPr>
        <w:pStyle w:val="EnvelopeReturn"/>
        <w:spacing w:afterLines="120" w:after="288"/>
      </w:pPr>
    </w:p>
    <w:sectPr w:rsidR="002045E3" w:rsidSect="0018022B">
      <w:headerReference w:type="default" r:id="rId9"/>
      <w:pgSz w:w="12240" w:h="15840"/>
      <w:pgMar w:top="1440" w:right="1800" w:bottom="72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F1" w:rsidRDefault="002D5FF1">
      <w:pPr>
        <w:spacing w:after="0" w:line="240" w:lineRule="auto"/>
      </w:pPr>
      <w:r>
        <w:separator/>
      </w:r>
    </w:p>
  </w:endnote>
  <w:endnote w:type="continuationSeparator" w:id="0">
    <w:p w:rsidR="002D5FF1" w:rsidRDefault="002D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F1" w:rsidRDefault="002D5FF1">
      <w:pPr>
        <w:spacing w:after="0" w:line="240" w:lineRule="auto"/>
      </w:pPr>
      <w:r>
        <w:separator/>
      </w:r>
    </w:p>
  </w:footnote>
  <w:footnote w:type="continuationSeparator" w:id="0">
    <w:p w:rsidR="002D5FF1" w:rsidRDefault="002D5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BA" w:rsidRPr="00BF61D4" w:rsidRDefault="002045E3" w:rsidP="00342EBA">
    <w:pPr>
      <w:pStyle w:val="Header"/>
      <w:rPr>
        <w:b/>
      </w:rPr>
    </w:pPr>
    <w:r w:rsidRPr="00BF61D4">
      <w:rPr>
        <w:b/>
      </w:rPr>
      <w:t>Interviewing and Investigation</w:t>
    </w:r>
    <w:r w:rsidRPr="00BF61D4">
      <w:rPr>
        <w:b/>
      </w:rPr>
      <w:tab/>
    </w:r>
    <w:r w:rsidRPr="00BF61D4">
      <w:rPr>
        <w:b/>
      </w:rPr>
      <w:fldChar w:fldCharType="begin"/>
    </w:r>
    <w:r w:rsidRPr="00BF61D4">
      <w:rPr>
        <w:b/>
      </w:rPr>
      <w:instrText xml:space="preserve"> PAGE   \* MERGEFORMAT </w:instrText>
    </w:r>
    <w:r w:rsidRPr="00BF61D4">
      <w:rPr>
        <w:b/>
      </w:rPr>
      <w:fldChar w:fldCharType="separate"/>
    </w:r>
    <w:r w:rsidR="008C6926">
      <w:rPr>
        <w:b/>
        <w:noProof/>
      </w:rPr>
      <w:t>2</w:t>
    </w:r>
    <w:r w:rsidRPr="00BF61D4">
      <w:rPr>
        <w:b/>
      </w:rPr>
      <w:fldChar w:fldCharType="end"/>
    </w:r>
    <w:r w:rsidRPr="00BF61D4">
      <w:rPr>
        <w:b/>
      </w:rPr>
      <w:tab/>
      <w:t>PFP304</w:t>
    </w:r>
  </w:p>
  <w:p w:rsidR="00342EBA" w:rsidRPr="00342EBA" w:rsidRDefault="008C6926" w:rsidP="00342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2"/>
      </w:rPr>
    </w:lvl>
    <w:lvl w:ilvl="1">
      <w:start w:val="1"/>
      <w:numFmt w:val="decimal"/>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E20152F"/>
    <w:multiLevelType w:val="hybridMultilevel"/>
    <w:tmpl w:val="7354B9B2"/>
    <w:lvl w:ilvl="0" w:tplc="93FC9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B05CB"/>
    <w:multiLevelType w:val="multilevel"/>
    <w:tmpl w:val="CD12CC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F3340C"/>
    <w:multiLevelType w:val="multilevel"/>
    <w:tmpl w:val="F0323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40194A47"/>
    <w:multiLevelType w:val="multilevel"/>
    <w:tmpl w:val="95D0D2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A8F09EB"/>
    <w:multiLevelType w:val="multilevel"/>
    <w:tmpl w:val="6D443F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01867C5"/>
    <w:multiLevelType w:val="multilevel"/>
    <w:tmpl w:val="6CF2DF3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C886399"/>
    <w:multiLevelType w:val="multilevel"/>
    <w:tmpl w:val="FAD6B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3"/>
  </w:num>
  <w:num w:numId="4">
    <w:abstractNumId w:val="8"/>
  </w:num>
  <w:num w:numId="5">
    <w:abstractNumId w:val="5"/>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E3"/>
    <w:rsid w:val="00115885"/>
    <w:rsid w:val="002045E3"/>
    <w:rsid w:val="0021361D"/>
    <w:rsid w:val="00274E02"/>
    <w:rsid w:val="00286F56"/>
    <w:rsid w:val="002A41BE"/>
    <w:rsid w:val="002D5FF1"/>
    <w:rsid w:val="00380D4C"/>
    <w:rsid w:val="00537ABB"/>
    <w:rsid w:val="00570114"/>
    <w:rsid w:val="005D684D"/>
    <w:rsid w:val="00671CEF"/>
    <w:rsid w:val="006C2140"/>
    <w:rsid w:val="00715CC9"/>
    <w:rsid w:val="00891353"/>
    <w:rsid w:val="008A380C"/>
    <w:rsid w:val="008B4616"/>
    <w:rsid w:val="008C6926"/>
    <w:rsid w:val="00A03039"/>
    <w:rsid w:val="00A358EB"/>
    <w:rsid w:val="00D4237E"/>
    <w:rsid w:val="00DD06DD"/>
    <w:rsid w:val="00EF3E1D"/>
    <w:rsid w:val="00F422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E3"/>
  </w:style>
  <w:style w:type="paragraph" w:styleId="BalloonText">
    <w:name w:val="Balloon Text"/>
    <w:basedOn w:val="Normal"/>
    <w:link w:val="BalloonTextChar"/>
    <w:uiPriority w:val="99"/>
    <w:semiHidden/>
    <w:unhideWhenUsed/>
    <w:rsid w:val="0020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E3"/>
    <w:rPr>
      <w:rFonts w:ascii="Tahoma" w:hAnsi="Tahoma" w:cs="Tahoma"/>
      <w:sz w:val="16"/>
      <w:szCs w:val="16"/>
    </w:rPr>
  </w:style>
  <w:style w:type="paragraph" w:styleId="EnvelopeReturn">
    <w:name w:val="envelope return"/>
    <w:basedOn w:val="Normal"/>
    <w:rsid w:val="002045E3"/>
    <w:pPr>
      <w:spacing w:after="0" w:line="240" w:lineRule="auto"/>
    </w:pPr>
    <w:rPr>
      <w:rFonts w:ascii="Arial" w:eastAsia="Times New Roman" w:hAnsi="Arial" w:cs="Times New Roman"/>
      <w:sz w:val="24"/>
      <w:szCs w:val="20"/>
      <w:lang w:val="en-US"/>
    </w:rPr>
  </w:style>
  <w:style w:type="character" w:styleId="Hyperlink">
    <w:name w:val="Hyperlink"/>
    <w:basedOn w:val="DefaultParagraphFont"/>
    <w:rsid w:val="002045E3"/>
    <w:rPr>
      <w:color w:val="0000FF"/>
      <w:u w:val="single"/>
    </w:rPr>
  </w:style>
  <w:style w:type="paragraph" w:styleId="Footer">
    <w:name w:val="footer"/>
    <w:basedOn w:val="Normal"/>
    <w:link w:val="FooterChar"/>
    <w:uiPriority w:val="99"/>
    <w:unhideWhenUsed/>
    <w:rsid w:val="0021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1D"/>
  </w:style>
  <w:style w:type="paragraph" w:styleId="ListParagraph">
    <w:name w:val="List Paragraph"/>
    <w:basedOn w:val="Normal"/>
    <w:uiPriority w:val="34"/>
    <w:qFormat/>
    <w:rsid w:val="00213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5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E3"/>
  </w:style>
  <w:style w:type="paragraph" w:styleId="BalloonText">
    <w:name w:val="Balloon Text"/>
    <w:basedOn w:val="Normal"/>
    <w:link w:val="BalloonTextChar"/>
    <w:uiPriority w:val="99"/>
    <w:semiHidden/>
    <w:unhideWhenUsed/>
    <w:rsid w:val="0020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E3"/>
    <w:rPr>
      <w:rFonts w:ascii="Tahoma" w:hAnsi="Tahoma" w:cs="Tahoma"/>
      <w:sz w:val="16"/>
      <w:szCs w:val="16"/>
    </w:rPr>
  </w:style>
  <w:style w:type="paragraph" w:styleId="EnvelopeReturn">
    <w:name w:val="envelope return"/>
    <w:basedOn w:val="Normal"/>
    <w:rsid w:val="002045E3"/>
    <w:pPr>
      <w:spacing w:after="0" w:line="240" w:lineRule="auto"/>
    </w:pPr>
    <w:rPr>
      <w:rFonts w:ascii="Arial" w:eastAsia="Times New Roman" w:hAnsi="Arial" w:cs="Times New Roman"/>
      <w:sz w:val="24"/>
      <w:szCs w:val="20"/>
      <w:lang w:val="en-US"/>
    </w:rPr>
  </w:style>
  <w:style w:type="character" w:styleId="Hyperlink">
    <w:name w:val="Hyperlink"/>
    <w:basedOn w:val="DefaultParagraphFont"/>
    <w:rsid w:val="002045E3"/>
    <w:rPr>
      <w:color w:val="0000FF"/>
      <w:u w:val="single"/>
    </w:rPr>
  </w:style>
  <w:style w:type="paragraph" w:styleId="Footer">
    <w:name w:val="footer"/>
    <w:basedOn w:val="Normal"/>
    <w:link w:val="FooterChar"/>
    <w:uiPriority w:val="99"/>
    <w:unhideWhenUsed/>
    <w:rsid w:val="0021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1D"/>
  </w:style>
  <w:style w:type="paragraph" w:styleId="ListParagraph">
    <w:name w:val="List Paragraph"/>
    <w:basedOn w:val="Normal"/>
    <w:uiPriority w:val="34"/>
    <w:qFormat/>
    <w:rsid w:val="00213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515">
      <w:bodyDiv w:val="1"/>
      <w:marLeft w:val="0"/>
      <w:marRight w:val="0"/>
      <w:marTop w:val="0"/>
      <w:marBottom w:val="0"/>
      <w:divBdr>
        <w:top w:val="none" w:sz="0" w:space="0" w:color="auto"/>
        <w:left w:val="none" w:sz="0" w:space="0" w:color="auto"/>
        <w:bottom w:val="none" w:sz="0" w:space="0" w:color="auto"/>
        <w:right w:val="none" w:sz="0" w:space="0" w:color="auto"/>
      </w:divBdr>
    </w:div>
    <w:div w:id="1282764649">
      <w:bodyDiv w:val="1"/>
      <w:marLeft w:val="0"/>
      <w:marRight w:val="0"/>
      <w:marTop w:val="0"/>
      <w:marBottom w:val="0"/>
      <w:divBdr>
        <w:top w:val="none" w:sz="0" w:space="0" w:color="auto"/>
        <w:left w:val="none" w:sz="0" w:space="0" w:color="auto"/>
        <w:bottom w:val="none" w:sz="0" w:space="0" w:color="auto"/>
        <w:right w:val="none" w:sz="0" w:space="0" w:color="auto"/>
      </w:divBdr>
    </w:div>
    <w:div w:id="1718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8EEA5-C47F-4727-8137-20C66C02857B}"/>
</file>

<file path=customXml/itemProps2.xml><?xml version="1.0" encoding="utf-8"?>
<ds:datastoreItem xmlns:ds="http://schemas.openxmlformats.org/officeDocument/2006/customXml" ds:itemID="{F529060B-8844-4239-985F-956DED0F01E2}"/>
</file>

<file path=customXml/itemProps3.xml><?xml version="1.0" encoding="utf-8"?>
<ds:datastoreItem xmlns:ds="http://schemas.openxmlformats.org/officeDocument/2006/customXml" ds:itemID="{BA9C322F-E622-4E44-A1B4-7720A957671A}"/>
</file>

<file path=docProps/app.xml><?xml version="1.0" encoding="utf-8"?>
<Properties xmlns="http://schemas.openxmlformats.org/officeDocument/2006/extended-properties" xmlns:vt="http://schemas.openxmlformats.org/officeDocument/2006/docPropsVTypes">
  <Template>Normal.dotm</Template>
  <TotalTime>2</TotalTime>
  <Pages>6</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2014-09-22T15:04:00Z</cp:lastPrinted>
  <dcterms:created xsi:type="dcterms:W3CDTF">2015-06-30T14:15:00Z</dcterms:created>
  <dcterms:modified xsi:type="dcterms:W3CDTF">2015-06-30T14:15:00Z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10407800</vt:r8>
  </property>
</Properties>
</file>